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61D" w:rsidRDefault="00007C57" w:rsidP="00AF1532">
      <w:pPr>
        <w:jc w:val="center"/>
      </w:pPr>
      <w:bookmarkStart w:id="0" w:name="_GoBack"/>
      <w:bookmarkEnd w:id="0"/>
      <w:r>
        <w:rPr>
          <w:noProof/>
          <w:lang w:eastAsia="en-GB"/>
        </w:rPr>
        <w:drawing>
          <wp:inline distT="0" distB="0" distL="0" distR="0">
            <wp:extent cx="539750" cy="443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3710" cy="454940"/>
                    </a:xfrm>
                    <a:prstGeom prst="rect">
                      <a:avLst/>
                    </a:prstGeom>
                  </pic:spPr>
                </pic:pic>
              </a:graphicData>
            </a:graphic>
          </wp:inline>
        </w:drawing>
      </w:r>
    </w:p>
    <w:p w:rsidR="00914108" w:rsidRDefault="00AC2807" w:rsidP="000D7C8B">
      <w:pPr>
        <w:jc w:val="center"/>
        <w:rPr>
          <w:b/>
        </w:rPr>
      </w:pPr>
      <w:r>
        <w:rPr>
          <w:b/>
        </w:rPr>
        <w:t>SUMMARY OF SCHOOL PLAN 2018-2019</w:t>
      </w:r>
    </w:p>
    <w:tbl>
      <w:tblPr>
        <w:tblStyle w:val="TableGrid"/>
        <w:tblW w:w="0" w:type="auto"/>
        <w:tblLook w:val="04A0" w:firstRow="1" w:lastRow="0" w:firstColumn="1" w:lastColumn="0" w:noHBand="0" w:noVBand="1"/>
      </w:tblPr>
      <w:tblGrid>
        <w:gridCol w:w="2263"/>
        <w:gridCol w:w="5245"/>
        <w:gridCol w:w="7880"/>
      </w:tblGrid>
      <w:tr w:rsidR="00007C57" w:rsidTr="00723179">
        <w:tc>
          <w:tcPr>
            <w:tcW w:w="2263" w:type="dxa"/>
          </w:tcPr>
          <w:p w:rsidR="00007C57" w:rsidRDefault="00007C57" w:rsidP="00007C57">
            <w:pPr>
              <w:jc w:val="center"/>
              <w:rPr>
                <w:b/>
              </w:rPr>
            </w:pPr>
            <w:r>
              <w:rPr>
                <w:b/>
              </w:rPr>
              <w:t>GOAL TITLE</w:t>
            </w:r>
          </w:p>
        </w:tc>
        <w:tc>
          <w:tcPr>
            <w:tcW w:w="5245" w:type="dxa"/>
          </w:tcPr>
          <w:p w:rsidR="00007C57" w:rsidRDefault="006E69A2" w:rsidP="00AC2807">
            <w:pPr>
              <w:jc w:val="center"/>
              <w:rPr>
                <w:b/>
              </w:rPr>
            </w:pPr>
            <w:r>
              <w:rPr>
                <w:b/>
              </w:rPr>
              <w:t>TARGET</w:t>
            </w:r>
            <w:r w:rsidR="00D30307">
              <w:rPr>
                <w:b/>
              </w:rPr>
              <w:t>S</w:t>
            </w:r>
            <w:r w:rsidR="002B6466">
              <w:rPr>
                <w:b/>
              </w:rPr>
              <w:t xml:space="preserve"> </w:t>
            </w:r>
            <w:r w:rsidR="00AC2807">
              <w:rPr>
                <w:b/>
              </w:rPr>
              <w:t>2018-2019</w:t>
            </w:r>
          </w:p>
        </w:tc>
        <w:tc>
          <w:tcPr>
            <w:tcW w:w="7880" w:type="dxa"/>
          </w:tcPr>
          <w:p w:rsidR="00007C57" w:rsidRDefault="002B6466" w:rsidP="00AC2807">
            <w:pPr>
              <w:jc w:val="center"/>
              <w:rPr>
                <w:b/>
              </w:rPr>
            </w:pPr>
            <w:r>
              <w:rPr>
                <w:b/>
              </w:rPr>
              <w:t xml:space="preserve">SUCCESS CRITERIA </w:t>
            </w:r>
            <w:r w:rsidR="00AC2807">
              <w:rPr>
                <w:b/>
              </w:rPr>
              <w:t>2018-2019</w:t>
            </w:r>
          </w:p>
        </w:tc>
      </w:tr>
      <w:tr w:rsidR="001D2DAE" w:rsidTr="00723179">
        <w:tc>
          <w:tcPr>
            <w:tcW w:w="2263" w:type="dxa"/>
            <w:vMerge w:val="restart"/>
            <w:shd w:val="clear" w:color="auto" w:fill="ED6861"/>
          </w:tcPr>
          <w:p w:rsidR="001D2DAE" w:rsidRDefault="001D2DAE" w:rsidP="00007C57">
            <w:pPr>
              <w:jc w:val="center"/>
              <w:rPr>
                <w:b/>
              </w:rPr>
            </w:pPr>
            <w:r>
              <w:rPr>
                <w:b/>
              </w:rPr>
              <w:t>Goal A</w:t>
            </w:r>
          </w:p>
          <w:p w:rsidR="001D2DAE" w:rsidRDefault="001D2DAE" w:rsidP="00007C57">
            <w:pPr>
              <w:jc w:val="center"/>
              <w:rPr>
                <w:b/>
              </w:rPr>
            </w:pPr>
            <w:r>
              <w:rPr>
                <w:b/>
              </w:rPr>
              <w:t>LEADERSHIP &amp; MANAGEMENT</w:t>
            </w:r>
          </w:p>
        </w:tc>
        <w:tc>
          <w:tcPr>
            <w:tcW w:w="5245" w:type="dxa"/>
          </w:tcPr>
          <w:p w:rsidR="001D2DAE" w:rsidRPr="00214B39" w:rsidRDefault="001D2DAE" w:rsidP="001B37FA">
            <w:pPr>
              <w:rPr>
                <w:b/>
                <w:sz w:val="20"/>
                <w:szCs w:val="20"/>
              </w:rPr>
            </w:pPr>
            <w:r w:rsidRPr="00214B39">
              <w:rPr>
                <w:b/>
                <w:sz w:val="20"/>
                <w:szCs w:val="20"/>
              </w:rPr>
              <w:t>To achieve an Ofsted judgement of outstanding in all areas.</w:t>
            </w:r>
          </w:p>
        </w:tc>
        <w:tc>
          <w:tcPr>
            <w:tcW w:w="7880" w:type="dxa"/>
          </w:tcPr>
          <w:p w:rsidR="001D2DAE" w:rsidRPr="00214B39" w:rsidRDefault="001D2DAE" w:rsidP="005B6FB6">
            <w:pPr>
              <w:pStyle w:val="ListParagraph"/>
              <w:numPr>
                <w:ilvl w:val="0"/>
                <w:numId w:val="3"/>
              </w:numPr>
              <w:rPr>
                <w:rFonts w:asciiTheme="minorHAnsi" w:hAnsiTheme="minorHAnsi"/>
                <w:b/>
                <w:sz w:val="20"/>
                <w:szCs w:val="20"/>
              </w:rPr>
            </w:pPr>
            <w:r w:rsidRPr="00214B39">
              <w:rPr>
                <w:rFonts w:asciiTheme="minorHAnsi" w:hAnsiTheme="minorHAnsi"/>
                <w:b/>
                <w:sz w:val="20"/>
                <w:szCs w:val="20"/>
              </w:rPr>
              <w:t>The school meets the criteria to be judged as outstanding in all areas during the next Ofsted inspection/s.</w:t>
            </w:r>
          </w:p>
          <w:p w:rsidR="001D2DAE" w:rsidRPr="00214B39" w:rsidRDefault="001D2DAE" w:rsidP="005B6FB6">
            <w:pPr>
              <w:pStyle w:val="ListParagraph"/>
              <w:numPr>
                <w:ilvl w:val="0"/>
                <w:numId w:val="3"/>
              </w:numPr>
              <w:rPr>
                <w:rFonts w:asciiTheme="minorHAnsi" w:hAnsiTheme="minorHAnsi"/>
                <w:b/>
                <w:sz w:val="20"/>
                <w:szCs w:val="20"/>
              </w:rPr>
            </w:pPr>
            <w:r w:rsidRPr="00214B39">
              <w:rPr>
                <w:rFonts w:asciiTheme="minorHAnsi" w:hAnsiTheme="minorHAnsi"/>
                <w:b/>
                <w:sz w:val="20"/>
                <w:szCs w:val="20"/>
              </w:rPr>
              <w:t>The reputation of the school is further enhanced and parental preference reflects the planned increase to the Published Admission Number.</w:t>
            </w:r>
          </w:p>
        </w:tc>
      </w:tr>
      <w:tr w:rsidR="001D2DAE" w:rsidTr="00723179">
        <w:tc>
          <w:tcPr>
            <w:tcW w:w="2263" w:type="dxa"/>
            <w:vMerge/>
            <w:shd w:val="clear" w:color="auto" w:fill="ED6861"/>
          </w:tcPr>
          <w:p w:rsidR="001D2DAE" w:rsidRDefault="001D2DAE" w:rsidP="00007C57">
            <w:pPr>
              <w:jc w:val="center"/>
              <w:rPr>
                <w:b/>
              </w:rPr>
            </w:pPr>
          </w:p>
        </w:tc>
        <w:tc>
          <w:tcPr>
            <w:tcW w:w="5245" w:type="dxa"/>
          </w:tcPr>
          <w:p w:rsidR="001D2DAE" w:rsidRPr="00214B39" w:rsidRDefault="001D2DAE" w:rsidP="003D065F">
            <w:pPr>
              <w:rPr>
                <w:b/>
                <w:sz w:val="20"/>
                <w:szCs w:val="20"/>
              </w:rPr>
            </w:pPr>
            <w:r w:rsidRPr="00214B39">
              <w:rPr>
                <w:b/>
                <w:sz w:val="20"/>
                <w:szCs w:val="20"/>
              </w:rPr>
              <w:t>By July 2019 to ensure the most cost effective deployment of staff members in order to streamline staffing expenditure.</w:t>
            </w:r>
          </w:p>
        </w:tc>
        <w:tc>
          <w:tcPr>
            <w:tcW w:w="7880" w:type="dxa"/>
          </w:tcPr>
          <w:p w:rsidR="001D2DAE" w:rsidRPr="00214B39" w:rsidRDefault="001D2DAE" w:rsidP="005B6FB6">
            <w:pPr>
              <w:pStyle w:val="ListParagraph"/>
              <w:numPr>
                <w:ilvl w:val="0"/>
                <w:numId w:val="3"/>
              </w:numPr>
              <w:rPr>
                <w:rFonts w:asciiTheme="minorHAnsi" w:hAnsiTheme="minorHAnsi"/>
                <w:b/>
                <w:sz w:val="20"/>
                <w:szCs w:val="20"/>
              </w:rPr>
            </w:pPr>
            <w:r w:rsidRPr="00214B39">
              <w:rPr>
                <w:rFonts w:asciiTheme="minorHAnsi" w:hAnsiTheme="minorHAnsi"/>
                <w:b/>
                <w:sz w:val="20"/>
                <w:szCs w:val="20"/>
              </w:rPr>
              <w:t>The staffing structure for 2018-2019 and future plans reflect cost effective staff deployment which meets the needs of pupils at the school.</w:t>
            </w:r>
          </w:p>
        </w:tc>
      </w:tr>
      <w:tr w:rsidR="001D2DAE" w:rsidTr="00723179">
        <w:tc>
          <w:tcPr>
            <w:tcW w:w="2263" w:type="dxa"/>
            <w:vMerge/>
            <w:shd w:val="clear" w:color="auto" w:fill="ED6861"/>
          </w:tcPr>
          <w:p w:rsidR="001D2DAE" w:rsidRDefault="001D2DAE" w:rsidP="00007C57">
            <w:pPr>
              <w:jc w:val="center"/>
              <w:rPr>
                <w:b/>
              </w:rPr>
            </w:pPr>
          </w:p>
        </w:tc>
        <w:tc>
          <w:tcPr>
            <w:tcW w:w="5245" w:type="dxa"/>
          </w:tcPr>
          <w:p w:rsidR="001D2DAE" w:rsidRPr="00214B39" w:rsidRDefault="001D2DAE" w:rsidP="00AF1532">
            <w:pPr>
              <w:rPr>
                <w:b/>
                <w:sz w:val="20"/>
                <w:szCs w:val="20"/>
              </w:rPr>
            </w:pPr>
            <w:r w:rsidRPr="00214B39">
              <w:rPr>
                <w:b/>
                <w:sz w:val="20"/>
                <w:szCs w:val="20"/>
              </w:rPr>
              <w:t>By July 2019 to generate additional income from a fundraising campaign, grant application and exploration of various funding streams in order to continue to provide additional equipment and resources which are no longer affordable from the school budget share.</w:t>
            </w:r>
          </w:p>
        </w:tc>
        <w:tc>
          <w:tcPr>
            <w:tcW w:w="7880" w:type="dxa"/>
          </w:tcPr>
          <w:p w:rsidR="001D2DAE" w:rsidRPr="00214B39" w:rsidRDefault="001D2DAE" w:rsidP="005B6FB6">
            <w:pPr>
              <w:pStyle w:val="ListParagraph"/>
              <w:numPr>
                <w:ilvl w:val="0"/>
                <w:numId w:val="3"/>
              </w:numPr>
              <w:rPr>
                <w:rFonts w:asciiTheme="minorHAnsi" w:hAnsiTheme="minorHAnsi"/>
                <w:b/>
                <w:sz w:val="20"/>
                <w:szCs w:val="20"/>
              </w:rPr>
            </w:pPr>
            <w:r w:rsidRPr="00214B39">
              <w:rPr>
                <w:rFonts w:asciiTheme="minorHAnsi" w:hAnsiTheme="minorHAnsi"/>
                <w:b/>
                <w:sz w:val="20"/>
                <w:szCs w:val="20"/>
              </w:rPr>
              <w:t>A sustainable fundraising campaign encourages stakeholders and local businesses to donate to maintain the quality of education provided by JHSW.</w:t>
            </w:r>
          </w:p>
          <w:p w:rsidR="001D2DAE" w:rsidRPr="00214B39" w:rsidRDefault="001D2DAE" w:rsidP="005B6FB6">
            <w:pPr>
              <w:pStyle w:val="ListParagraph"/>
              <w:numPr>
                <w:ilvl w:val="0"/>
                <w:numId w:val="3"/>
              </w:numPr>
              <w:rPr>
                <w:rFonts w:asciiTheme="minorHAnsi" w:hAnsiTheme="minorHAnsi"/>
                <w:b/>
                <w:sz w:val="20"/>
                <w:szCs w:val="20"/>
              </w:rPr>
            </w:pPr>
            <w:r w:rsidRPr="00214B39">
              <w:rPr>
                <w:rFonts w:asciiTheme="minorHAnsi" w:hAnsiTheme="minorHAnsi"/>
                <w:b/>
                <w:sz w:val="20"/>
                <w:szCs w:val="20"/>
              </w:rPr>
              <w:t>The school budget is enhanced by regular financial contributions following fund raising activities which also include the wider local community.</w:t>
            </w:r>
          </w:p>
          <w:p w:rsidR="001D2DAE" w:rsidRPr="00214B39" w:rsidRDefault="001D2DAE" w:rsidP="005B6FB6">
            <w:pPr>
              <w:pStyle w:val="ListParagraph"/>
              <w:numPr>
                <w:ilvl w:val="0"/>
                <w:numId w:val="3"/>
              </w:numPr>
              <w:rPr>
                <w:rFonts w:asciiTheme="minorHAnsi" w:hAnsiTheme="minorHAnsi"/>
                <w:b/>
                <w:sz w:val="20"/>
                <w:szCs w:val="20"/>
              </w:rPr>
            </w:pPr>
            <w:r w:rsidRPr="00214B39">
              <w:rPr>
                <w:rFonts w:asciiTheme="minorHAnsi" w:hAnsiTheme="minorHAnsi"/>
                <w:b/>
                <w:sz w:val="20"/>
                <w:szCs w:val="20"/>
              </w:rPr>
              <w:t>The school has successfully accessed additional funding streams/grants from external sources to enhance educational facilities and opportunities.</w:t>
            </w:r>
          </w:p>
        </w:tc>
      </w:tr>
      <w:tr w:rsidR="001D2DAE" w:rsidTr="00723179">
        <w:tc>
          <w:tcPr>
            <w:tcW w:w="2263" w:type="dxa"/>
            <w:vMerge/>
            <w:shd w:val="clear" w:color="auto" w:fill="ED6861"/>
          </w:tcPr>
          <w:p w:rsidR="001D2DAE" w:rsidRDefault="001D2DAE" w:rsidP="00007C57">
            <w:pPr>
              <w:jc w:val="center"/>
              <w:rPr>
                <w:b/>
              </w:rPr>
            </w:pPr>
          </w:p>
        </w:tc>
        <w:tc>
          <w:tcPr>
            <w:tcW w:w="5245" w:type="dxa"/>
          </w:tcPr>
          <w:p w:rsidR="001D2DAE" w:rsidRPr="00214B39" w:rsidRDefault="001D2DAE" w:rsidP="000C0898">
            <w:pPr>
              <w:rPr>
                <w:b/>
                <w:sz w:val="20"/>
                <w:szCs w:val="20"/>
              </w:rPr>
            </w:pPr>
            <w:r w:rsidRPr="00214B39">
              <w:rPr>
                <w:b/>
                <w:sz w:val="20"/>
                <w:szCs w:val="20"/>
              </w:rPr>
              <w:t>By July 2019 to collaborate effectively and profitably  with others in order to enhance the skills, reputation, resources and future financial security of the JHSW</w:t>
            </w:r>
          </w:p>
        </w:tc>
        <w:tc>
          <w:tcPr>
            <w:tcW w:w="7880" w:type="dxa"/>
          </w:tcPr>
          <w:p w:rsidR="001D2DAE" w:rsidRPr="00214B39" w:rsidRDefault="001D2DAE" w:rsidP="005B6FB6">
            <w:pPr>
              <w:pStyle w:val="ListParagraph"/>
              <w:numPr>
                <w:ilvl w:val="0"/>
                <w:numId w:val="3"/>
              </w:numPr>
              <w:rPr>
                <w:rFonts w:asciiTheme="minorHAnsi" w:hAnsiTheme="minorHAnsi"/>
                <w:b/>
                <w:sz w:val="20"/>
                <w:szCs w:val="20"/>
              </w:rPr>
            </w:pPr>
            <w:r w:rsidRPr="00214B39">
              <w:rPr>
                <w:rFonts w:asciiTheme="minorHAnsi" w:hAnsiTheme="minorHAnsi"/>
                <w:b/>
                <w:sz w:val="20"/>
                <w:szCs w:val="20"/>
              </w:rPr>
              <w:t>The Leadership Team and key members of staff continue to explore the benefits of closer working relationships with others for mutual benefit.</w:t>
            </w:r>
          </w:p>
          <w:p w:rsidR="001D2DAE" w:rsidRPr="00214B39" w:rsidRDefault="001D2DAE" w:rsidP="005B6FB6">
            <w:pPr>
              <w:pStyle w:val="ListParagraph"/>
              <w:numPr>
                <w:ilvl w:val="0"/>
                <w:numId w:val="3"/>
              </w:numPr>
              <w:rPr>
                <w:rFonts w:asciiTheme="minorHAnsi" w:hAnsiTheme="minorHAnsi"/>
                <w:b/>
                <w:sz w:val="20"/>
                <w:szCs w:val="20"/>
              </w:rPr>
            </w:pPr>
            <w:r w:rsidRPr="00214B39">
              <w:rPr>
                <w:rFonts w:asciiTheme="minorHAnsi" w:hAnsiTheme="minorHAnsi"/>
                <w:b/>
                <w:sz w:val="20"/>
                <w:szCs w:val="20"/>
              </w:rPr>
              <w:t>The Leadership Team continues to provide support, training and development opportunities for other professionals.</w:t>
            </w:r>
          </w:p>
          <w:p w:rsidR="001D2DAE" w:rsidRDefault="001D2DAE" w:rsidP="00CC355D">
            <w:pPr>
              <w:pStyle w:val="ListParagraph"/>
              <w:numPr>
                <w:ilvl w:val="0"/>
                <w:numId w:val="3"/>
              </w:numPr>
              <w:rPr>
                <w:rFonts w:asciiTheme="minorHAnsi" w:hAnsiTheme="minorHAnsi"/>
                <w:b/>
                <w:sz w:val="20"/>
                <w:szCs w:val="20"/>
              </w:rPr>
            </w:pPr>
            <w:r w:rsidRPr="00214B39">
              <w:rPr>
                <w:rFonts w:asciiTheme="minorHAnsi" w:hAnsiTheme="minorHAnsi"/>
                <w:b/>
                <w:sz w:val="20"/>
                <w:szCs w:val="20"/>
              </w:rPr>
              <w:t>Regular collaboration arrangements between the John Colet Liaison Group continue and there is a positive impact of this work in terms of efficiency and effectiveness of policy and practice.</w:t>
            </w:r>
          </w:p>
          <w:p w:rsidR="001D2DAE" w:rsidRPr="00214B39" w:rsidRDefault="001D2DAE" w:rsidP="00214B39">
            <w:pPr>
              <w:pStyle w:val="ListParagraph"/>
              <w:rPr>
                <w:rFonts w:asciiTheme="minorHAnsi" w:hAnsiTheme="minorHAnsi"/>
                <w:b/>
                <w:sz w:val="20"/>
                <w:szCs w:val="20"/>
              </w:rPr>
            </w:pPr>
          </w:p>
        </w:tc>
      </w:tr>
      <w:tr w:rsidR="001D2DAE" w:rsidTr="00723179">
        <w:tc>
          <w:tcPr>
            <w:tcW w:w="2263" w:type="dxa"/>
            <w:vMerge/>
            <w:shd w:val="clear" w:color="auto" w:fill="ED6861"/>
          </w:tcPr>
          <w:p w:rsidR="001D2DAE" w:rsidRDefault="001D2DAE" w:rsidP="00007C57">
            <w:pPr>
              <w:jc w:val="center"/>
              <w:rPr>
                <w:b/>
              </w:rPr>
            </w:pPr>
          </w:p>
        </w:tc>
        <w:tc>
          <w:tcPr>
            <w:tcW w:w="5245" w:type="dxa"/>
          </w:tcPr>
          <w:p w:rsidR="001D2DAE" w:rsidRPr="00214B39" w:rsidRDefault="001D2DAE" w:rsidP="00D947BC">
            <w:pPr>
              <w:rPr>
                <w:b/>
                <w:sz w:val="20"/>
                <w:szCs w:val="20"/>
              </w:rPr>
            </w:pPr>
            <w:r w:rsidRPr="00214B39">
              <w:rPr>
                <w:b/>
                <w:sz w:val="20"/>
                <w:szCs w:val="20"/>
              </w:rPr>
              <w:t>By July 2019 to make effective use of the Apprenticeship Levy to upskill and train staff in identified roles.</w:t>
            </w:r>
          </w:p>
        </w:tc>
        <w:tc>
          <w:tcPr>
            <w:tcW w:w="7880" w:type="dxa"/>
          </w:tcPr>
          <w:p w:rsidR="001D2DAE" w:rsidRDefault="001D2DAE" w:rsidP="005B6FB6">
            <w:pPr>
              <w:pStyle w:val="ListParagraph"/>
              <w:numPr>
                <w:ilvl w:val="0"/>
                <w:numId w:val="3"/>
              </w:numPr>
              <w:rPr>
                <w:rFonts w:asciiTheme="minorHAnsi" w:hAnsiTheme="minorHAnsi"/>
                <w:b/>
                <w:sz w:val="20"/>
                <w:szCs w:val="20"/>
              </w:rPr>
            </w:pPr>
            <w:r w:rsidRPr="00214B39">
              <w:rPr>
                <w:rFonts w:asciiTheme="minorHAnsi" w:hAnsiTheme="minorHAnsi"/>
                <w:b/>
                <w:sz w:val="20"/>
                <w:szCs w:val="20"/>
              </w:rPr>
              <w:t>The budget share set aside for apprenticeship training is used effectively to train staff for the Early Years Class and to develop the role of a school business manager.</w:t>
            </w:r>
          </w:p>
          <w:p w:rsidR="001D2DAE" w:rsidRPr="00214B39" w:rsidRDefault="001D2DAE" w:rsidP="00214B39">
            <w:pPr>
              <w:pStyle w:val="ListParagraph"/>
              <w:rPr>
                <w:rFonts w:asciiTheme="minorHAnsi" w:hAnsiTheme="minorHAnsi"/>
                <w:b/>
                <w:sz w:val="20"/>
                <w:szCs w:val="20"/>
              </w:rPr>
            </w:pPr>
          </w:p>
        </w:tc>
      </w:tr>
      <w:tr w:rsidR="001D2DAE" w:rsidTr="00723179">
        <w:tc>
          <w:tcPr>
            <w:tcW w:w="2263" w:type="dxa"/>
            <w:vMerge/>
            <w:shd w:val="clear" w:color="auto" w:fill="ED6861"/>
          </w:tcPr>
          <w:p w:rsidR="001D2DAE" w:rsidRDefault="001D2DAE" w:rsidP="00007C57">
            <w:pPr>
              <w:jc w:val="center"/>
              <w:rPr>
                <w:b/>
              </w:rPr>
            </w:pPr>
          </w:p>
        </w:tc>
        <w:tc>
          <w:tcPr>
            <w:tcW w:w="5245" w:type="dxa"/>
          </w:tcPr>
          <w:p w:rsidR="001D2DAE" w:rsidRPr="00214B39" w:rsidRDefault="001D2DAE" w:rsidP="00D947BC">
            <w:pPr>
              <w:rPr>
                <w:b/>
                <w:sz w:val="20"/>
                <w:szCs w:val="20"/>
              </w:rPr>
            </w:pPr>
            <w:r w:rsidRPr="00214B39">
              <w:rPr>
                <w:b/>
                <w:sz w:val="20"/>
                <w:szCs w:val="20"/>
              </w:rPr>
              <w:t>By July 2019 to further develop the capacity of middle leaders in order to improve and sustain high quality planning, teaching, learning and assessment in all subjects.</w:t>
            </w:r>
          </w:p>
          <w:p w:rsidR="001D2DAE" w:rsidRPr="00214B39" w:rsidRDefault="001D2DAE" w:rsidP="00D947BC">
            <w:pPr>
              <w:rPr>
                <w:b/>
                <w:sz w:val="20"/>
                <w:szCs w:val="20"/>
              </w:rPr>
            </w:pPr>
          </w:p>
        </w:tc>
        <w:tc>
          <w:tcPr>
            <w:tcW w:w="7880" w:type="dxa"/>
          </w:tcPr>
          <w:p w:rsidR="001D2DAE" w:rsidRPr="00214B39" w:rsidRDefault="001D2DAE" w:rsidP="005B6FB6">
            <w:pPr>
              <w:pStyle w:val="ListParagraph"/>
              <w:numPr>
                <w:ilvl w:val="0"/>
                <w:numId w:val="3"/>
              </w:numPr>
              <w:rPr>
                <w:rFonts w:asciiTheme="minorHAnsi" w:hAnsiTheme="minorHAnsi"/>
                <w:b/>
                <w:sz w:val="20"/>
                <w:szCs w:val="20"/>
              </w:rPr>
            </w:pPr>
            <w:r w:rsidRPr="00214B39">
              <w:rPr>
                <w:rFonts w:asciiTheme="minorHAnsi" w:hAnsiTheme="minorHAnsi"/>
                <w:b/>
                <w:sz w:val="20"/>
                <w:szCs w:val="20"/>
              </w:rPr>
              <w:t>Coaching and training opportunities upskill middle leaders and further improve their confidence and ability to plan, assess, monitor and lead future curriculum developments.</w:t>
            </w:r>
          </w:p>
          <w:p w:rsidR="001D2DAE" w:rsidRDefault="001D2DAE" w:rsidP="005B6FB6">
            <w:pPr>
              <w:pStyle w:val="ListParagraph"/>
              <w:numPr>
                <w:ilvl w:val="0"/>
                <w:numId w:val="3"/>
              </w:numPr>
              <w:rPr>
                <w:rFonts w:asciiTheme="minorHAnsi" w:hAnsiTheme="minorHAnsi"/>
                <w:b/>
                <w:sz w:val="20"/>
                <w:szCs w:val="20"/>
              </w:rPr>
            </w:pPr>
            <w:r w:rsidRPr="00214B39">
              <w:rPr>
                <w:rFonts w:asciiTheme="minorHAnsi" w:hAnsiTheme="minorHAnsi"/>
                <w:b/>
                <w:sz w:val="20"/>
                <w:szCs w:val="20"/>
              </w:rPr>
              <w:t>Work scrutiny of Topic Books and Floor Books reflects a consistency of expectation in all subjects when compared to work in English and Maths Books.</w:t>
            </w:r>
          </w:p>
          <w:p w:rsidR="001D2DAE" w:rsidRPr="00214B39" w:rsidRDefault="001D2DAE" w:rsidP="00214B39">
            <w:pPr>
              <w:pStyle w:val="ListParagraph"/>
              <w:rPr>
                <w:rFonts w:asciiTheme="minorHAnsi" w:hAnsiTheme="minorHAnsi"/>
                <w:b/>
                <w:sz w:val="20"/>
                <w:szCs w:val="20"/>
              </w:rPr>
            </w:pPr>
          </w:p>
        </w:tc>
      </w:tr>
      <w:tr w:rsidR="000618E7" w:rsidTr="00273B34">
        <w:trPr>
          <w:trHeight w:val="899"/>
        </w:trPr>
        <w:tc>
          <w:tcPr>
            <w:tcW w:w="2263" w:type="dxa"/>
            <w:vMerge w:val="restart"/>
            <w:shd w:val="clear" w:color="auto" w:fill="FFD966" w:themeFill="accent4" w:themeFillTint="99"/>
          </w:tcPr>
          <w:p w:rsidR="000618E7" w:rsidRDefault="000618E7" w:rsidP="00007C57">
            <w:pPr>
              <w:jc w:val="center"/>
              <w:rPr>
                <w:b/>
              </w:rPr>
            </w:pPr>
            <w:r>
              <w:rPr>
                <w:b/>
              </w:rPr>
              <w:lastRenderedPageBreak/>
              <w:t>Goal B</w:t>
            </w:r>
          </w:p>
          <w:p w:rsidR="000618E7" w:rsidRDefault="000618E7" w:rsidP="00007C57">
            <w:pPr>
              <w:jc w:val="center"/>
              <w:rPr>
                <w:b/>
              </w:rPr>
            </w:pPr>
            <w:r>
              <w:rPr>
                <w:b/>
              </w:rPr>
              <w:t>TEACHING, LEARNING &amp; ASSESSMENT</w:t>
            </w:r>
          </w:p>
          <w:p w:rsidR="000618E7" w:rsidRDefault="000618E7" w:rsidP="00007C57">
            <w:pPr>
              <w:jc w:val="center"/>
              <w:rPr>
                <w:b/>
              </w:rPr>
            </w:pPr>
          </w:p>
          <w:p w:rsidR="000618E7" w:rsidRDefault="000618E7" w:rsidP="00007C57">
            <w:pPr>
              <w:jc w:val="center"/>
              <w:rPr>
                <w:b/>
              </w:rPr>
            </w:pPr>
          </w:p>
          <w:p w:rsidR="000618E7" w:rsidRDefault="000618E7" w:rsidP="00007C57">
            <w:pPr>
              <w:jc w:val="center"/>
              <w:rPr>
                <w:b/>
              </w:rPr>
            </w:pPr>
          </w:p>
          <w:p w:rsidR="000618E7" w:rsidRDefault="000618E7" w:rsidP="00007C57">
            <w:pPr>
              <w:jc w:val="center"/>
              <w:rPr>
                <w:b/>
              </w:rPr>
            </w:pPr>
          </w:p>
          <w:p w:rsidR="000618E7" w:rsidRDefault="000618E7" w:rsidP="00007C57">
            <w:pPr>
              <w:jc w:val="center"/>
              <w:rPr>
                <w:b/>
              </w:rPr>
            </w:pPr>
          </w:p>
          <w:p w:rsidR="000618E7" w:rsidRDefault="000618E7" w:rsidP="00007C57">
            <w:pPr>
              <w:jc w:val="center"/>
              <w:rPr>
                <w:b/>
              </w:rPr>
            </w:pPr>
          </w:p>
          <w:p w:rsidR="000618E7" w:rsidRDefault="000618E7" w:rsidP="00007C57">
            <w:pPr>
              <w:jc w:val="center"/>
              <w:rPr>
                <w:b/>
              </w:rPr>
            </w:pPr>
          </w:p>
          <w:p w:rsidR="000618E7" w:rsidRDefault="000618E7" w:rsidP="00007C57">
            <w:pPr>
              <w:jc w:val="center"/>
              <w:rPr>
                <w:b/>
              </w:rPr>
            </w:pPr>
          </w:p>
          <w:p w:rsidR="000618E7" w:rsidRDefault="000618E7" w:rsidP="00007C57">
            <w:pPr>
              <w:jc w:val="center"/>
              <w:rPr>
                <w:b/>
              </w:rPr>
            </w:pPr>
          </w:p>
          <w:p w:rsidR="000618E7" w:rsidRDefault="000618E7" w:rsidP="00007C57">
            <w:pPr>
              <w:jc w:val="center"/>
              <w:rPr>
                <w:b/>
              </w:rPr>
            </w:pPr>
          </w:p>
          <w:p w:rsidR="000618E7" w:rsidRDefault="000618E7" w:rsidP="00007C57">
            <w:pPr>
              <w:jc w:val="center"/>
              <w:rPr>
                <w:b/>
              </w:rPr>
            </w:pPr>
          </w:p>
          <w:p w:rsidR="000618E7" w:rsidRDefault="000618E7" w:rsidP="00007C57">
            <w:pPr>
              <w:jc w:val="center"/>
              <w:rPr>
                <w:b/>
              </w:rPr>
            </w:pPr>
          </w:p>
          <w:p w:rsidR="000618E7" w:rsidRDefault="000618E7" w:rsidP="00007C57">
            <w:pPr>
              <w:jc w:val="center"/>
              <w:rPr>
                <w:b/>
              </w:rPr>
            </w:pPr>
          </w:p>
          <w:p w:rsidR="000618E7" w:rsidRDefault="000618E7" w:rsidP="00273B34">
            <w:pPr>
              <w:rPr>
                <w:b/>
              </w:rPr>
            </w:pPr>
          </w:p>
        </w:tc>
        <w:tc>
          <w:tcPr>
            <w:tcW w:w="5245" w:type="dxa"/>
          </w:tcPr>
          <w:p w:rsidR="000618E7" w:rsidRPr="00214B39" w:rsidRDefault="00A530F4" w:rsidP="00A530F4">
            <w:pPr>
              <w:rPr>
                <w:b/>
                <w:sz w:val="20"/>
                <w:szCs w:val="20"/>
              </w:rPr>
            </w:pPr>
            <w:r w:rsidRPr="00214B39">
              <w:rPr>
                <w:b/>
                <w:sz w:val="20"/>
                <w:szCs w:val="20"/>
              </w:rPr>
              <w:t>By July 2019</w:t>
            </w:r>
            <w:r w:rsidR="000618E7" w:rsidRPr="00214B39">
              <w:rPr>
                <w:b/>
                <w:sz w:val="20"/>
                <w:szCs w:val="20"/>
              </w:rPr>
              <w:t xml:space="preserve"> to </w:t>
            </w:r>
            <w:r w:rsidRPr="00214B39">
              <w:rPr>
                <w:b/>
                <w:sz w:val="20"/>
                <w:szCs w:val="20"/>
              </w:rPr>
              <w:t>further improve individual and year group responses to feedback regarding the quality of teaching in order to clearly demonstrate the positive impact of constructive advice and guidance.</w:t>
            </w:r>
          </w:p>
        </w:tc>
        <w:tc>
          <w:tcPr>
            <w:tcW w:w="7880" w:type="dxa"/>
          </w:tcPr>
          <w:p w:rsidR="00A530F4" w:rsidRDefault="00A530F4" w:rsidP="00DF1ECC">
            <w:pPr>
              <w:pStyle w:val="ListParagraph"/>
              <w:numPr>
                <w:ilvl w:val="0"/>
                <w:numId w:val="4"/>
              </w:numPr>
              <w:rPr>
                <w:rFonts w:asciiTheme="minorHAnsi" w:hAnsiTheme="minorHAnsi"/>
                <w:b/>
                <w:sz w:val="20"/>
                <w:szCs w:val="20"/>
              </w:rPr>
            </w:pPr>
            <w:r w:rsidRPr="00214B39">
              <w:rPr>
                <w:rFonts w:asciiTheme="minorHAnsi" w:hAnsiTheme="minorHAnsi"/>
                <w:b/>
                <w:sz w:val="20"/>
                <w:szCs w:val="20"/>
              </w:rPr>
              <w:t>The impact of feedback, generated as a result of monitoring of the quality of teaching, results in a positive improvements and even greater consistency in policy and practice.</w:t>
            </w:r>
          </w:p>
          <w:p w:rsidR="000618E7" w:rsidRPr="00DF1ECC" w:rsidRDefault="00DF1ECC" w:rsidP="00DF1ECC">
            <w:pPr>
              <w:pStyle w:val="ListParagraph"/>
              <w:numPr>
                <w:ilvl w:val="0"/>
                <w:numId w:val="4"/>
              </w:numPr>
              <w:rPr>
                <w:rFonts w:asciiTheme="minorHAnsi" w:hAnsiTheme="minorHAnsi"/>
                <w:b/>
                <w:sz w:val="20"/>
                <w:szCs w:val="20"/>
              </w:rPr>
            </w:pPr>
            <w:r w:rsidRPr="00DF1ECC">
              <w:rPr>
                <w:rFonts w:asciiTheme="minorHAnsi" w:hAnsiTheme="minorHAnsi"/>
                <w:b/>
                <w:sz w:val="20"/>
                <w:szCs w:val="20"/>
              </w:rPr>
              <w:t>Work scrutiny of Topic Books and Floor Books reflects a consistency of expectation in all subjects when compared to work in English and Maths Books.</w:t>
            </w:r>
          </w:p>
        </w:tc>
      </w:tr>
      <w:tr w:rsidR="000618E7" w:rsidTr="00723179">
        <w:tc>
          <w:tcPr>
            <w:tcW w:w="2263" w:type="dxa"/>
            <w:vMerge/>
            <w:shd w:val="clear" w:color="auto" w:fill="FFD966" w:themeFill="accent4" w:themeFillTint="99"/>
          </w:tcPr>
          <w:p w:rsidR="000618E7" w:rsidRDefault="000618E7" w:rsidP="00007C57">
            <w:pPr>
              <w:jc w:val="center"/>
              <w:rPr>
                <w:b/>
              </w:rPr>
            </w:pPr>
          </w:p>
        </w:tc>
        <w:tc>
          <w:tcPr>
            <w:tcW w:w="5245" w:type="dxa"/>
          </w:tcPr>
          <w:p w:rsidR="000618E7" w:rsidRPr="00214B39" w:rsidRDefault="00CA4CE0" w:rsidP="004D0FCF">
            <w:pPr>
              <w:rPr>
                <w:b/>
                <w:sz w:val="20"/>
                <w:szCs w:val="20"/>
              </w:rPr>
            </w:pPr>
            <w:r w:rsidRPr="00214B39">
              <w:rPr>
                <w:b/>
                <w:sz w:val="20"/>
                <w:szCs w:val="20"/>
              </w:rPr>
              <w:t>By July 2019</w:t>
            </w:r>
            <w:r w:rsidR="000618E7" w:rsidRPr="00214B39">
              <w:rPr>
                <w:b/>
                <w:sz w:val="20"/>
                <w:szCs w:val="20"/>
              </w:rPr>
              <w:t xml:space="preserve"> to ensure consistency of assessments in reading, writing and maths across the Liaison Group of schools </w:t>
            </w:r>
          </w:p>
        </w:tc>
        <w:tc>
          <w:tcPr>
            <w:tcW w:w="7880" w:type="dxa"/>
          </w:tcPr>
          <w:p w:rsidR="000618E7" w:rsidRPr="00214B39" w:rsidRDefault="000618E7" w:rsidP="00637F7A">
            <w:pPr>
              <w:pStyle w:val="ListParagraph"/>
              <w:numPr>
                <w:ilvl w:val="0"/>
                <w:numId w:val="6"/>
              </w:numPr>
              <w:rPr>
                <w:rFonts w:asciiTheme="minorHAnsi" w:hAnsiTheme="minorHAnsi"/>
                <w:b/>
                <w:sz w:val="20"/>
                <w:szCs w:val="20"/>
              </w:rPr>
            </w:pPr>
            <w:r w:rsidRPr="00214B39">
              <w:rPr>
                <w:rFonts w:asciiTheme="minorHAnsi" w:hAnsiTheme="minorHAnsi"/>
                <w:b/>
                <w:sz w:val="20"/>
                <w:szCs w:val="20"/>
              </w:rPr>
              <w:t>There is a clear and shared collective understanding of what constitutes the expected standard/ age related expectations using nationally and locally agreed exemplification and growing expertise.</w:t>
            </w:r>
          </w:p>
          <w:p w:rsidR="000618E7" w:rsidRPr="00214B39" w:rsidRDefault="000618E7" w:rsidP="005306C8">
            <w:pPr>
              <w:pStyle w:val="ListParagraph"/>
              <w:numPr>
                <w:ilvl w:val="0"/>
                <w:numId w:val="5"/>
              </w:numPr>
              <w:rPr>
                <w:rFonts w:asciiTheme="minorHAnsi" w:hAnsiTheme="minorHAnsi"/>
                <w:b/>
                <w:sz w:val="20"/>
                <w:szCs w:val="20"/>
              </w:rPr>
            </w:pPr>
            <w:r w:rsidRPr="00214B39">
              <w:rPr>
                <w:rFonts w:asciiTheme="minorHAnsi" w:hAnsiTheme="minorHAnsi"/>
                <w:b/>
                <w:sz w:val="20"/>
                <w:szCs w:val="20"/>
              </w:rPr>
              <w:t>Moderation opportunities reflect a consistency in judgements across the school and across the Liaison Group, especially with WJS.</w:t>
            </w:r>
          </w:p>
          <w:p w:rsidR="000618E7" w:rsidRDefault="000618E7" w:rsidP="005306C8">
            <w:pPr>
              <w:pStyle w:val="ListParagraph"/>
              <w:numPr>
                <w:ilvl w:val="0"/>
                <w:numId w:val="5"/>
              </w:numPr>
              <w:rPr>
                <w:rFonts w:asciiTheme="minorHAnsi" w:hAnsiTheme="minorHAnsi"/>
                <w:b/>
                <w:sz w:val="20"/>
                <w:szCs w:val="20"/>
              </w:rPr>
            </w:pPr>
            <w:r w:rsidRPr="00214B39">
              <w:rPr>
                <w:rFonts w:asciiTheme="minorHAnsi" w:hAnsiTheme="minorHAnsi"/>
                <w:b/>
                <w:sz w:val="20"/>
                <w:szCs w:val="20"/>
              </w:rPr>
              <w:t>Staff at JHSW are appropriately trained a</w:t>
            </w:r>
            <w:r w:rsidR="00CA4CE0" w:rsidRPr="00214B39">
              <w:rPr>
                <w:rFonts w:asciiTheme="minorHAnsi" w:hAnsiTheme="minorHAnsi"/>
                <w:b/>
                <w:sz w:val="20"/>
                <w:szCs w:val="20"/>
              </w:rPr>
              <w:t>nd qualified to moderate assessments in core areas</w:t>
            </w:r>
            <w:r w:rsidRPr="00214B39">
              <w:rPr>
                <w:rFonts w:asciiTheme="minorHAnsi" w:hAnsiTheme="minorHAnsi"/>
                <w:b/>
                <w:sz w:val="20"/>
                <w:szCs w:val="20"/>
              </w:rPr>
              <w:t xml:space="preserve"> at county level.</w:t>
            </w:r>
          </w:p>
          <w:p w:rsidR="00DF1ECC" w:rsidRPr="00214B39" w:rsidRDefault="00DF1ECC" w:rsidP="00DF1ECC">
            <w:pPr>
              <w:pStyle w:val="ListParagraph"/>
              <w:rPr>
                <w:rFonts w:asciiTheme="minorHAnsi" w:hAnsiTheme="minorHAnsi"/>
                <w:b/>
                <w:sz w:val="20"/>
                <w:szCs w:val="20"/>
              </w:rPr>
            </w:pPr>
          </w:p>
        </w:tc>
      </w:tr>
      <w:tr w:rsidR="000618E7" w:rsidTr="00973A53">
        <w:trPr>
          <w:trHeight w:val="1880"/>
        </w:trPr>
        <w:tc>
          <w:tcPr>
            <w:tcW w:w="2263" w:type="dxa"/>
            <w:vMerge/>
            <w:shd w:val="clear" w:color="auto" w:fill="FFD966" w:themeFill="accent4" w:themeFillTint="99"/>
          </w:tcPr>
          <w:p w:rsidR="000618E7" w:rsidRDefault="000618E7" w:rsidP="00007C57">
            <w:pPr>
              <w:jc w:val="center"/>
              <w:rPr>
                <w:b/>
              </w:rPr>
            </w:pPr>
          </w:p>
        </w:tc>
        <w:tc>
          <w:tcPr>
            <w:tcW w:w="5245" w:type="dxa"/>
          </w:tcPr>
          <w:p w:rsidR="000618E7" w:rsidRPr="00214B39" w:rsidRDefault="00CA4CE0" w:rsidP="00CA4CE0">
            <w:pPr>
              <w:rPr>
                <w:b/>
                <w:sz w:val="20"/>
                <w:szCs w:val="20"/>
              </w:rPr>
            </w:pPr>
            <w:r w:rsidRPr="00214B39">
              <w:rPr>
                <w:b/>
                <w:sz w:val="20"/>
                <w:szCs w:val="20"/>
              </w:rPr>
              <w:t>By July 2019</w:t>
            </w:r>
            <w:r w:rsidR="000618E7" w:rsidRPr="00214B39">
              <w:rPr>
                <w:b/>
                <w:sz w:val="20"/>
                <w:szCs w:val="20"/>
              </w:rPr>
              <w:t xml:space="preserve"> to ensure learning opportunities within the EYFS and National Curriculum are appropriately differentiated to chal</w:t>
            </w:r>
            <w:r w:rsidRPr="00214B39">
              <w:rPr>
                <w:b/>
                <w:sz w:val="20"/>
                <w:szCs w:val="20"/>
              </w:rPr>
              <w:t>lenge and meet the needs of boys and girls so that both groups perform to a similar standard in key areas of learning.</w:t>
            </w:r>
          </w:p>
        </w:tc>
        <w:tc>
          <w:tcPr>
            <w:tcW w:w="7880" w:type="dxa"/>
          </w:tcPr>
          <w:p w:rsidR="000618E7" w:rsidRPr="00214B39" w:rsidRDefault="000618E7" w:rsidP="00532E41">
            <w:pPr>
              <w:pStyle w:val="ListParagraph"/>
              <w:numPr>
                <w:ilvl w:val="0"/>
                <w:numId w:val="7"/>
              </w:numPr>
              <w:rPr>
                <w:rFonts w:asciiTheme="minorHAnsi" w:hAnsiTheme="minorHAnsi"/>
                <w:b/>
                <w:sz w:val="20"/>
                <w:szCs w:val="20"/>
              </w:rPr>
            </w:pPr>
            <w:r w:rsidRPr="00214B39">
              <w:rPr>
                <w:rFonts w:asciiTheme="minorHAnsi" w:hAnsiTheme="minorHAnsi"/>
                <w:b/>
                <w:sz w:val="20"/>
                <w:szCs w:val="20"/>
              </w:rPr>
              <w:t>Monitoring and eval</w:t>
            </w:r>
            <w:r w:rsidR="00046613" w:rsidRPr="00214B39">
              <w:rPr>
                <w:rFonts w:asciiTheme="minorHAnsi" w:hAnsiTheme="minorHAnsi"/>
                <w:b/>
                <w:sz w:val="20"/>
                <w:szCs w:val="20"/>
              </w:rPr>
              <w:t xml:space="preserve">uation of teaching &amp; learning, </w:t>
            </w:r>
            <w:r w:rsidRPr="00214B39">
              <w:rPr>
                <w:rFonts w:asciiTheme="minorHAnsi" w:hAnsiTheme="minorHAnsi"/>
                <w:b/>
                <w:sz w:val="20"/>
                <w:szCs w:val="20"/>
              </w:rPr>
              <w:t>assessment, planning, work scrutiny, pupil views and subject leader actions reflect clear differentiation in English and Mathematics teaching and learning that allows all pupils</w:t>
            </w:r>
            <w:r w:rsidR="00046613" w:rsidRPr="00214B39">
              <w:rPr>
                <w:rFonts w:asciiTheme="minorHAnsi" w:hAnsiTheme="minorHAnsi"/>
                <w:b/>
                <w:sz w:val="20"/>
                <w:szCs w:val="20"/>
              </w:rPr>
              <w:t>/groups of pupils</w:t>
            </w:r>
            <w:r w:rsidRPr="00214B39">
              <w:rPr>
                <w:rFonts w:asciiTheme="minorHAnsi" w:hAnsiTheme="minorHAnsi"/>
                <w:b/>
                <w:sz w:val="20"/>
                <w:szCs w:val="20"/>
              </w:rPr>
              <w:t xml:space="preserve"> to deepen their knowledge, understanding and skills at a challenging level appropriate to their needs</w:t>
            </w:r>
            <w:r w:rsidR="006736C8" w:rsidRPr="00214B39">
              <w:rPr>
                <w:rFonts w:asciiTheme="minorHAnsi" w:hAnsiTheme="minorHAnsi"/>
                <w:b/>
                <w:sz w:val="20"/>
                <w:szCs w:val="20"/>
              </w:rPr>
              <w:t>.</w:t>
            </w:r>
          </w:p>
          <w:p w:rsidR="000618E7" w:rsidRPr="00214B39" w:rsidRDefault="000618E7" w:rsidP="00532E41">
            <w:pPr>
              <w:pStyle w:val="ListParagraph"/>
              <w:numPr>
                <w:ilvl w:val="0"/>
                <w:numId w:val="7"/>
              </w:numPr>
              <w:rPr>
                <w:rFonts w:asciiTheme="minorHAnsi" w:hAnsiTheme="minorHAnsi"/>
                <w:b/>
                <w:sz w:val="20"/>
                <w:szCs w:val="20"/>
              </w:rPr>
            </w:pPr>
            <w:r w:rsidRPr="00214B39">
              <w:rPr>
                <w:rFonts w:asciiTheme="minorHAnsi" w:hAnsiTheme="minorHAnsi"/>
                <w:b/>
                <w:sz w:val="20"/>
                <w:szCs w:val="20"/>
              </w:rPr>
              <w:t>External validation confirms that differentiation is evident and effective in enhancing learn</w:t>
            </w:r>
            <w:r w:rsidR="00046613" w:rsidRPr="00214B39">
              <w:rPr>
                <w:rFonts w:asciiTheme="minorHAnsi" w:hAnsiTheme="minorHAnsi"/>
                <w:b/>
                <w:sz w:val="20"/>
                <w:szCs w:val="20"/>
              </w:rPr>
              <w:t>ing opportunities for all individuals and groups of pupils</w:t>
            </w:r>
            <w:r w:rsidRPr="00214B39">
              <w:rPr>
                <w:rFonts w:asciiTheme="minorHAnsi" w:hAnsiTheme="minorHAnsi"/>
                <w:b/>
                <w:sz w:val="20"/>
                <w:szCs w:val="20"/>
              </w:rPr>
              <w:t>.</w:t>
            </w:r>
          </w:p>
        </w:tc>
      </w:tr>
      <w:tr w:rsidR="000618E7" w:rsidTr="00805C59">
        <w:trPr>
          <w:trHeight w:val="1338"/>
        </w:trPr>
        <w:tc>
          <w:tcPr>
            <w:tcW w:w="2263" w:type="dxa"/>
            <w:vMerge/>
            <w:shd w:val="clear" w:color="auto" w:fill="FFD966" w:themeFill="accent4" w:themeFillTint="99"/>
          </w:tcPr>
          <w:p w:rsidR="000618E7" w:rsidRDefault="000618E7" w:rsidP="0018153E">
            <w:pPr>
              <w:rPr>
                <w:b/>
              </w:rPr>
            </w:pPr>
          </w:p>
        </w:tc>
        <w:tc>
          <w:tcPr>
            <w:tcW w:w="5245" w:type="dxa"/>
          </w:tcPr>
          <w:p w:rsidR="000618E7" w:rsidRPr="00214B39" w:rsidRDefault="00CA4CE0" w:rsidP="00C861D8">
            <w:pPr>
              <w:rPr>
                <w:b/>
                <w:sz w:val="20"/>
                <w:szCs w:val="20"/>
              </w:rPr>
            </w:pPr>
            <w:r w:rsidRPr="00214B39">
              <w:rPr>
                <w:b/>
                <w:sz w:val="20"/>
                <w:szCs w:val="20"/>
              </w:rPr>
              <w:t xml:space="preserve">By July 2019 </w:t>
            </w:r>
            <w:r w:rsidR="000618E7" w:rsidRPr="00214B39">
              <w:rPr>
                <w:b/>
                <w:sz w:val="20"/>
                <w:szCs w:val="20"/>
              </w:rPr>
              <w:t>to ensure complete consistency of approach and application of key school policies by</w:t>
            </w:r>
            <w:r w:rsidR="00214B39" w:rsidRPr="00214B39">
              <w:rPr>
                <w:b/>
                <w:sz w:val="20"/>
                <w:szCs w:val="20"/>
              </w:rPr>
              <w:t xml:space="preserve"> all teams and members of staff.</w:t>
            </w:r>
          </w:p>
        </w:tc>
        <w:tc>
          <w:tcPr>
            <w:tcW w:w="7880" w:type="dxa"/>
          </w:tcPr>
          <w:p w:rsidR="000618E7" w:rsidRPr="00214B39" w:rsidRDefault="000618E7" w:rsidP="00805C59">
            <w:pPr>
              <w:pStyle w:val="ListParagraph"/>
              <w:numPr>
                <w:ilvl w:val="0"/>
                <w:numId w:val="11"/>
              </w:numPr>
              <w:rPr>
                <w:rFonts w:asciiTheme="minorHAnsi" w:hAnsiTheme="minorHAnsi"/>
                <w:b/>
                <w:sz w:val="20"/>
                <w:szCs w:val="20"/>
              </w:rPr>
            </w:pPr>
            <w:r w:rsidRPr="00214B39">
              <w:rPr>
                <w:rFonts w:asciiTheme="minorHAnsi" w:hAnsiTheme="minorHAnsi"/>
                <w:b/>
                <w:sz w:val="20"/>
                <w:szCs w:val="20"/>
              </w:rPr>
              <w:t>Staff and volunteers are supported to ensure the behaviour policy is consistently applied by all teams within the school so pupils develop appropriate respect for all adults.</w:t>
            </w:r>
          </w:p>
          <w:p w:rsidR="000618E7" w:rsidRPr="00214B39" w:rsidRDefault="0008688B" w:rsidP="00805C59">
            <w:pPr>
              <w:pStyle w:val="ListParagraph"/>
              <w:numPr>
                <w:ilvl w:val="0"/>
                <w:numId w:val="11"/>
              </w:numPr>
              <w:rPr>
                <w:b/>
                <w:sz w:val="20"/>
                <w:szCs w:val="20"/>
              </w:rPr>
            </w:pPr>
            <w:r>
              <w:rPr>
                <w:rFonts w:asciiTheme="minorHAnsi" w:hAnsiTheme="minorHAnsi"/>
                <w:b/>
                <w:sz w:val="20"/>
                <w:szCs w:val="20"/>
              </w:rPr>
              <w:t>There is complete c</w:t>
            </w:r>
            <w:r w:rsidR="000618E7" w:rsidRPr="00214B39">
              <w:rPr>
                <w:rFonts w:asciiTheme="minorHAnsi" w:hAnsiTheme="minorHAnsi"/>
                <w:b/>
                <w:sz w:val="20"/>
                <w:szCs w:val="20"/>
              </w:rPr>
              <w:t>onsistency in application of the Handwr</w:t>
            </w:r>
            <w:r>
              <w:rPr>
                <w:rFonts w:asciiTheme="minorHAnsi" w:hAnsiTheme="minorHAnsi"/>
                <w:b/>
                <w:sz w:val="20"/>
                <w:szCs w:val="20"/>
              </w:rPr>
              <w:t>iting and Presentation Policy across classes and year groups as</w:t>
            </w:r>
            <w:r w:rsidR="000618E7" w:rsidRPr="00214B39">
              <w:rPr>
                <w:rFonts w:asciiTheme="minorHAnsi" w:hAnsiTheme="minorHAnsi"/>
                <w:b/>
                <w:sz w:val="20"/>
                <w:szCs w:val="20"/>
              </w:rPr>
              <w:t xml:space="preserve"> reflected in work scrutiny activities.</w:t>
            </w:r>
          </w:p>
          <w:p w:rsidR="000618E7" w:rsidRPr="00214B39" w:rsidRDefault="0008688B" w:rsidP="00805C59">
            <w:pPr>
              <w:pStyle w:val="ListParagraph"/>
              <w:numPr>
                <w:ilvl w:val="0"/>
                <w:numId w:val="11"/>
              </w:numPr>
              <w:rPr>
                <w:b/>
                <w:sz w:val="20"/>
                <w:szCs w:val="20"/>
              </w:rPr>
            </w:pPr>
            <w:r>
              <w:rPr>
                <w:rFonts w:asciiTheme="minorHAnsi" w:hAnsiTheme="minorHAnsi"/>
                <w:b/>
                <w:sz w:val="20"/>
                <w:szCs w:val="20"/>
              </w:rPr>
              <w:t>There is complete c</w:t>
            </w:r>
            <w:r w:rsidR="000618E7" w:rsidRPr="00214B39">
              <w:rPr>
                <w:rFonts w:asciiTheme="minorHAnsi" w:hAnsiTheme="minorHAnsi"/>
                <w:b/>
                <w:sz w:val="20"/>
                <w:szCs w:val="20"/>
              </w:rPr>
              <w:t>onsistency in applic</w:t>
            </w:r>
            <w:r>
              <w:rPr>
                <w:rFonts w:asciiTheme="minorHAnsi" w:hAnsiTheme="minorHAnsi"/>
                <w:b/>
                <w:sz w:val="20"/>
                <w:szCs w:val="20"/>
              </w:rPr>
              <w:t>ation of the Behaviour Policy across classes and year groups as</w:t>
            </w:r>
            <w:r w:rsidR="000618E7" w:rsidRPr="00214B39">
              <w:rPr>
                <w:rFonts w:asciiTheme="minorHAnsi" w:hAnsiTheme="minorHAnsi"/>
                <w:b/>
                <w:sz w:val="20"/>
                <w:szCs w:val="20"/>
              </w:rPr>
              <w:t xml:space="preserve"> reflected in monitoring records.</w:t>
            </w:r>
          </w:p>
          <w:p w:rsidR="00CA4CE0" w:rsidRPr="0008688B" w:rsidRDefault="0008688B" w:rsidP="00046613">
            <w:pPr>
              <w:pStyle w:val="ListParagraph"/>
              <w:numPr>
                <w:ilvl w:val="0"/>
                <w:numId w:val="11"/>
              </w:numPr>
              <w:rPr>
                <w:b/>
                <w:sz w:val="20"/>
                <w:szCs w:val="20"/>
              </w:rPr>
            </w:pPr>
            <w:r>
              <w:rPr>
                <w:rFonts w:asciiTheme="minorHAnsi" w:hAnsiTheme="minorHAnsi"/>
                <w:b/>
                <w:sz w:val="20"/>
                <w:szCs w:val="20"/>
              </w:rPr>
              <w:t>There is complete c</w:t>
            </w:r>
            <w:r w:rsidR="00CA4CE0" w:rsidRPr="00214B39">
              <w:rPr>
                <w:rFonts w:asciiTheme="minorHAnsi" w:hAnsiTheme="minorHAnsi"/>
                <w:b/>
                <w:sz w:val="20"/>
                <w:szCs w:val="20"/>
              </w:rPr>
              <w:t xml:space="preserve">onsistency in application of the Assessment Policy </w:t>
            </w:r>
            <w:r w:rsidR="00046613" w:rsidRPr="00214B39">
              <w:rPr>
                <w:rFonts w:asciiTheme="minorHAnsi" w:hAnsiTheme="minorHAnsi"/>
                <w:b/>
                <w:sz w:val="20"/>
                <w:szCs w:val="20"/>
              </w:rPr>
              <w:t>and the Marking &amp;</w:t>
            </w:r>
            <w:r w:rsidR="00331198" w:rsidRPr="00214B39">
              <w:rPr>
                <w:rFonts w:asciiTheme="minorHAnsi" w:hAnsiTheme="minorHAnsi"/>
                <w:b/>
                <w:sz w:val="20"/>
                <w:szCs w:val="20"/>
              </w:rPr>
              <w:t xml:space="preserve"> Feedback Policy </w:t>
            </w:r>
            <w:r>
              <w:rPr>
                <w:rFonts w:asciiTheme="minorHAnsi" w:hAnsiTheme="minorHAnsi"/>
                <w:b/>
                <w:sz w:val="20"/>
                <w:szCs w:val="20"/>
              </w:rPr>
              <w:t>as</w:t>
            </w:r>
            <w:r w:rsidR="00CA4CE0" w:rsidRPr="00214B39">
              <w:rPr>
                <w:rFonts w:asciiTheme="minorHAnsi" w:hAnsiTheme="minorHAnsi"/>
                <w:b/>
                <w:sz w:val="20"/>
                <w:szCs w:val="20"/>
              </w:rPr>
              <w:t xml:space="preserve"> reflected in </w:t>
            </w:r>
            <w:r w:rsidR="00046613" w:rsidRPr="00214B39">
              <w:rPr>
                <w:rFonts w:asciiTheme="minorHAnsi" w:hAnsiTheme="minorHAnsi"/>
                <w:b/>
                <w:sz w:val="20"/>
                <w:szCs w:val="20"/>
              </w:rPr>
              <w:t xml:space="preserve">work scrutiny and the </w:t>
            </w:r>
            <w:r w:rsidR="00CA4CE0" w:rsidRPr="00214B39">
              <w:rPr>
                <w:rFonts w:asciiTheme="minorHAnsi" w:hAnsiTheme="minorHAnsi"/>
                <w:b/>
                <w:sz w:val="20"/>
                <w:szCs w:val="20"/>
              </w:rPr>
              <w:t>monitoring of progress and attainment of pupils within each class and in each year group.</w:t>
            </w:r>
          </w:p>
          <w:p w:rsidR="00EA5ECB" w:rsidRPr="00EA5ECB" w:rsidRDefault="0008688B" w:rsidP="00EA5ECB">
            <w:pPr>
              <w:pStyle w:val="ListParagraph"/>
              <w:numPr>
                <w:ilvl w:val="0"/>
                <w:numId w:val="11"/>
              </w:numPr>
              <w:rPr>
                <w:b/>
                <w:sz w:val="20"/>
                <w:szCs w:val="20"/>
              </w:rPr>
            </w:pPr>
            <w:r>
              <w:rPr>
                <w:rFonts w:asciiTheme="minorHAnsi" w:hAnsiTheme="minorHAnsi"/>
                <w:b/>
                <w:sz w:val="20"/>
                <w:szCs w:val="20"/>
              </w:rPr>
              <w:t xml:space="preserve">There is clear development of </w:t>
            </w:r>
            <w:r w:rsidR="00EA5ECB">
              <w:rPr>
                <w:rFonts w:asciiTheme="minorHAnsi" w:hAnsiTheme="minorHAnsi"/>
                <w:b/>
                <w:sz w:val="20"/>
                <w:szCs w:val="20"/>
              </w:rPr>
              <w:t>key skills linked to P4C across the school.</w:t>
            </w:r>
          </w:p>
        </w:tc>
      </w:tr>
      <w:tr w:rsidR="000618E7" w:rsidTr="00973A53">
        <w:trPr>
          <w:trHeight w:val="1880"/>
        </w:trPr>
        <w:tc>
          <w:tcPr>
            <w:tcW w:w="2263" w:type="dxa"/>
            <w:vMerge/>
            <w:shd w:val="clear" w:color="auto" w:fill="FFD966" w:themeFill="accent4" w:themeFillTint="99"/>
          </w:tcPr>
          <w:p w:rsidR="000618E7" w:rsidRDefault="000618E7" w:rsidP="00007C57">
            <w:pPr>
              <w:jc w:val="center"/>
              <w:rPr>
                <w:b/>
              </w:rPr>
            </w:pPr>
          </w:p>
        </w:tc>
        <w:tc>
          <w:tcPr>
            <w:tcW w:w="5245" w:type="dxa"/>
          </w:tcPr>
          <w:p w:rsidR="000618E7" w:rsidRPr="00214B39" w:rsidRDefault="00331198" w:rsidP="00752207">
            <w:pPr>
              <w:rPr>
                <w:b/>
                <w:sz w:val="20"/>
                <w:szCs w:val="20"/>
              </w:rPr>
            </w:pPr>
            <w:r w:rsidRPr="00214B39">
              <w:rPr>
                <w:b/>
                <w:sz w:val="20"/>
                <w:szCs w:val="20"/>
              </w:rPr>
              <w:t>By July 2019</w:t>
            </w:r>
            <w:r w:rsidR="000618E7" w:rsidRPr="00214B39">
              <w:rPr>
                <w:b/>
                <w:sz w:val="20"/>
                <w:szCs w:val="20"/>
              </w:rPr>
              <w:t xml:space="preserve"> to firmly embed a consistent approach to </w:t>
            </w:r>
            <w:r w:rsidR="00752207" w:rsidRPr="00214B39">
              <w:rPr>
                <w:b/>
                <w:sz w:val="20"/>
                <w:szCs w:val="20"/>
              </w:rPr>
              <w:t>Learning Outside the Classroom (LotC) in all year groups</w:t>
            </w:r>
            <w:r w:rsidR="00214B39" w:rsidRPr="00214B39">
              <w:rPr>
                <w:b/>
                <w:sz w:val="20"/>
                <w:szCs w:val="20"/>
              </w:rPr>
              <w:t>.</w:t>
            </w:r>
          </w:p>
        </w:tc>
        <w:tc>
          <w:tcPr>
            <w:tcW w:w="7880" w:type="dxa"/>
          </w:tcPr>
          <w:p w:rsidR="000618E7" w:rsidRPr="00214B39" w:rsidRDefault="00214B39" w:rsidP="0060140D">
            <w:pPr>
              <w:pStyle w:val="ListParagraph"/>
              <w:numPr>
                <w:ilvl w:val="0"/>
                <w:numId w:val="12"/>
              </w:numPr>
              <w:rPr>
                <w:b/>
                <w:sz w:val="20"/>
                <w:szCs w:val="20"/>
              </w:rPr>
            </w:pPr>
            <w:r w:rsidRPr="00214B39">
              <w:rPr>
                <w:rFonts w:asciiTheme="minorHAnsi" w:hAnsiTheme="minorHAnsi"/>
                <w:b/>
                <w:sz w:val="20"/>
                <w:szCs w:val="20"/>
              </w:rPr>
              <w:t>Leader for ‘LotC</w:t>
            </w:r>
            <w:r w:rsidR="000618E7" w:rsidRPr="00214B39">
              <w:rPr>
                <w:rFonts w:asciiTheme="minorHAnsi" w:hAnsiTheme="minorHAnsi"/>
                <w:b/>
                <w:sz w:val="20"/>
                <w:szCs w:val="20"/>
              </w:rPr>
              <w:t xml:space="preserve">’ implements an agreed action plan to </w:t>
            </w:r>
            <w:r w:rsidRPr="00214B39">
              <w:rPr>
                <w:rFonts w:asciiTheme="minorHAnsi" w:hAnsiTheme="minorHAnsi"/>
                <w:b/>
                <w:sz w:val="20"/>
                <w:szCs w:val="20"/>
              </w:rPr>
              <w:t xml:space="preserve">further </w:t>
            </w:r>
            <w:r w:rsidR="000618E7" w:rsidRPr="00214B39">
              <w:rPr>
                <w:rFonts w:asciiTheme="minorHAnsi" w:hAnsiTheme="minorHAnsi"/>
                <w:b/>
                <w:sz w:val="20"/>
                <w:szCs w:val="20"/>
              </w:rPr>
              <w:t>develop this initiative across the school throughout the year.</w:t>
            </w:r>
          </w:p>
          <w:p w:rsidR="00214B39" w:rsidRPr="00214B39" w:rsidRDefault="00214B39" w:rsidP="0060140D">
            <w:pPr>
              <w:pStyle w:val="ListParagraph"/>
              <w:numPr>
                <w:ilvl w:val="0"/>
                <w:numId w:val="12"/>
              </w:numPr>
              <w:rPr>
                <w:b/>
                <w:sz w:val="20"/>
                <w:szCs w:val="20"/>
              </w:rPr>
            </w:pPr>
            <w:r w:rsidRPr="00214B39">
              <w:rPr>
                <w:rFonts w:asciiTheme="minorHAnsi" w:hAnsiTheme="minorHAnsi"/>
                <w:b/>
                <w:sz w:val="20"/>
                <w:szCs w:val="20"/>
              </w:rPr>
              <w:t>Whole staff training upskills and improves levels of confidence linked to improving opportunities for’ LotC’.</w:t>
            </w:r>
          </w:p>
          <w:p w:rsidR="000618E7" w:rsidRPr="00214B39" w:rsidRDefault="000618E7" w:rsidP="0060140D">
            <w:pPr>
              <w:pStyle w:val="ListParagraph"/>
              <w:numPr>
                <w:ilvl w:val="0"/>
                <w:numId w:val="12"/>
              </w:numPr>
              <w:rPr>
                <w:b/>
                <w:sz w:val="20"/>
                <w:szCs w:val="20"/>
              </w:rPr>
            </w:pPr>
            <w:r w:rsidRPr="00214B39">
              <w:rPr>
                <w:rFonts w:asciiTheme="minorHAnsi" w:hAnsiTheme="minorHAnsi"/>
                <w:b/>
                <w:sz w:val="20"/>
                <w:szCs w:val="20"/>
              </w:rPr>
              <w:t>Lesson observations and pupil voice activities reflect a growi</w:t>
            </w:r>
            <w:r w:rsidR="00214B39" w:rsidRPr="00214B39">
              <w:rPr>
                <w:rFonts w:asciiTheme="minorHAnsi" w:hAnsiTheme="minorHAnsi"/>
                <w:b/>
                <w:sz w:val="20"/>
                <w:szCs w:val="20"/>
              </w:rPr>
              <w:t xml:space="preserve">ng </w:t>
            </w:r>
            <w:r w:rsidR="00214B39">
              <w:rPr>
                <w:rFonts w:asciiTheme="minorHAnsi" w:hAnsiTheme="minorHAnsi"/>
                <w:b/>
                <w:sz w:val="20"/>
                <w:szCs w:val="20"/>
              </w:rPr>
              <w:t>appreciation of</w:t>
            </w:r>
            <w:r w:rsidR="00214B39" w:rsidRPr="00214B39">
              <w:rPr>
                <w:rFonts w:asciiTheme="minorHAnsi" w:hAnsiTheme="minorHAnsi"/>
                <w:b/>
                <w:sz w:val="20"/>
                <w:szCs w:val="20"/>
              </w:rPr>
              <w:t xml:space="preserve"> LotC</w:t>
            </w:r>
            <w:r w:rsidR="00214B39">
              <w:rPr>
                <w:rFonts w:asciiTheme="minorHAnsi" w:hAnsiTheme="minorHAnsi"/>
                <w:b/>
                <w:sz w:val="20"/>
                <w:szCs w:val="20"/>
              </w:rPr>
              <w:t xml:space="preserve"> and impact positively on pupil performance.</w:t>
            </w:r>
          </w:p>
          <w:p w:rsidR="000618E7" w:rsidRPr="00214B39" w:rsidRDefault="000618E7" w:rsidP="0060140D">
            <w:pPr>
              <w:pStyle w:val="ListParagraph"/>
              <w:numPr>
                <w:ilvl w:val="0"/>
                <w:numId w:val="12"/>
              </w:numPr>
              <w:rPr>
                <w:b/>
                <w:sz w:val="20"/>
                <w:szCs w:val="20"/>
              </w:rPr>
            </w:pPr>
            <w:r w:rsidRPr="00214B39">
              <w:rPr>
                <w:rFonts w:asciiTheme="minorHAnsi" w:hAnsiTheme="minorHAnsi"/>
                <w:b/>
                <w:sz w:val="20"/>
                <w:szCs w:val="20"/>
              </w:rPr>
              <w:t>Stakeholders are appropriately info</w:t>
            </w:r>
            <w:r w:rsidR="00214B39" w:rsidRPr="00214B39">
              <w:rPr>
                <w:rFonts w:asciiTheme="minorHAnsi" w:hAnsiTheme="minorHAnsi"/>
                <w:b/>
                <w:sz w:val="20"/>
                <w:szCs w:val="20"/>
              </w:rPr>
              <w:t>rmed about how ‘LotC’</w:t>
            </w:r>
            <w:r w:rsidRPr="00214B39">
              <w:rPr>
                <w:rFonts w:asciiTheme="minorHAnsi" w:hAnsiTheme="minorHAnsi"/>
                <w:b/>
                <w:sz w:val="20"/>
                <w:szCs w:val="20"/>
              </w:rPr>
              <w:t xml:space="preserve"> i</w:t>
            </w:r>
            <w:r w:rsidR="00214B39">
              <w:rPr>
                <w:rFonts w:asciiTheme="minorHAnsi" w:hAnsiTheme="minorHAnsi"/>
                <w:b/>
                <w:sz w:val="20"/>
                <w:szCs w:val="20"/>
              </w:rPr>
              <w:t>s being developed in the school.</w:t>
            </w:r>
          </w:p>
        </w:tc>
      </w:tr>
      <w:tr w:rsidR="009E5732" w:rsidTr="00267800">
        <w:tc>
          <w:tcPr>
            <w:tcW w:w="2263" w:type="dxa"/>
            <w:vMerge w:val="restart"/>
            <w:shd w:val="clear" w:color="auto" w:fill="9CC2E5" w:themeFill="accent1" w:themeFillTint="99"/>
          </w:tcPr>
          <w:p w:rsidR="009E5732" w:rsidRDefault="009E5732" w:rsidP="00F409C8">
            <w:pPr>
              <w:jc w:val="center"/>
              <w:rPr>
                <w:b/>
              </w:rPr>
            </w:pPr>
            <w:r>
              <w:rPr>
                <w:b/>
              </w:rPr>
              <w:lastRenderedPageBreak/>
              <w:t>Goal C</w:t>
            </w:r>
          </w:p>
          <w:p w:rsidR="009E5732" w:rsidRDefault="009E5732" w:rsidP="00F409C8">
            <w:pPr>
              <w:jc w:val="center"/>
              <w:rPr>
                <w:b/>
              </w:rPr>
            </w:pPr>
            <w:r>
              <w:rPr>
                <w:b/>
              </w:rPr>
              <w:t>PERSONAL DEVELOPMENT, BEHAVIOUR &amp; WELFARE</w:t>
            </w:r>
          </w:p>
          <w:p w:rsidR="009E5732" w:rsidRDefault="009E5732" w:rsidP="00F409C8">
            <w:pPr>
              <w:jc w:val="center"/>
              <w:rPr>
                <w:b/>
              </w:rPr>
            </w:pPr>
          </w:p>
          <w:p w:rsidR="009E5732" w:rsidRDefault="009E5732" w:rsidP="00F409C8">
            <w:pPr>
              <w:jc w:val="center"/>
              <w:rPr>
                <w:b/>
              </w:rPr>
            </w:pPr>
          </w:p>
          <w:p w:rsidR="009E5732" w:rsidRDefault="009E5732" w:rsidP="00F409C8">
            <w:pPr>
              <w:jc w:val="center"/>
              <w:rPr>
                <w:b/>
              </w:rPr>
            </w:pPr>
          </w:p>
          <w:p w:rsidR="009E5732" w:rsidRDefault="009E5732" w:rsidP="00F409C8">
            <w:pPr>
              <w:rPr>
                <w:b/>
              </w:rPr>
            </w:pPr>
          </w:p>
        </w:tc>
        <w:tc>
          <w:tcPr>
            <w:tcW w:w="5245" w:type="dxa"/>
          </w:tcPr>
          <w:p w:rsidR="009E5732" w:rsidRPr="00DF1ECC" w:rsidRDefault="009E5732" w:rsidP="00350995">
            <w:pPr>
              <w:rPr>
                <w:b/>
                <w:sz w:val="20"/>
                <w:szCs w:val="20"/>
              </w:rPr>
            </w:pPr>
            <w:r>
              <w:rPr>
                <w:b/>
                <w:sz w:val="20"/>
                <w:szCs w:val="20"/>
              </w:rPr>
              <w:t>By July 2019</w:t>
            </w:r>
            <w:r w:rsidRPr="00DF1ECC">
              <w:rPr>
                <w:b/>
                <w:sz w:val="20"/>
                <w:szCs w:val="20"/>
              </w:rPr>
              <w:t xml:space="preserve"> to engage further </w:t>
            </w:r>
            <w:r>
              <w:rPr>
                <w:b/>
                <w:sz w:val="20"/>
                <w:szCs w:val="20"/>
              </w:rPr>
              <w:t xml:space="preserve">with parents/carers to ensure pupils are ‘school ready’ and </w:t>
            </w:r>
            <w:r w:rsidRPr="00DF1ECC">
              <w:rPr>
                <w:b/>
                <w:sz w:val="20"/>
                <w:szCs w:val="20"/>
              </w:rPr>
              <w:t>well supported</w:t>
            </w:r>
            <w:r>
              <w:rPr>
                <w:b/>
                <w:sz w:val="20"/>
                <w:szCs w:val="20"/>
              </w:rPr>
              <w:t xml:space="preserve"> with their home learning activities.</w:t>
            </w:r>
          </w:p>
        </w:tc>
        <w:tc>
          <w:tcPr>
            <w:tcW w:w="7880" w:type="dxa"/>
          </w:tcPr>
          <w:p w:rsidR="009E5732" w:rsidRDefault="009E5732" w:rsidP="005819ED">
            <w:pPr>
              <w:pStyle w:val="ListParagraph"/>
              <w:numPr>
                <w:ilvl w:val="0"/>
                <w:numId w:val="13"/>
              </w:numPr>
              <w:rPr>
                <w:rFonts w:asciiTheme="minorHAnsi" w:hAnsiTheme="minorHAnsi"/>
                <w:b/>
                <w:sz w:val="20"/>
                <w:szCs w:val="20"/>
              </w:rPr>
            </w:pPr>
            <w:r w:rsidRPr="00DF1ECC">
              <w:rPr>
                <w:rFonts w:asciiTheme="minorHAnsi" w:hAnsiTheme="minorHAnsi"/>
                <w:b/>
                <w:sz w:val="20"/>
                <w:szCs w:val="20"/>
              </w:rPr>
              <w:t>Pupils who are not benefitting from regular learning support at home are identified and arrangements are in place to ensure they have similar opportunities as their peers.</w:t>
            </w:r>
          </w:p>
          <w:p w:rsidR="009E5732" w:rsidRPr="00DF1ECC" w:rsidRDefault="009E5732" w:rsidP="005819ED">
            <w:pPr>
              <w:pStyle w:val="ListParagraph"/>
              <w:numPr>
                <w:ilvl w:val="0"/>
                <w:numId w:val="13"/>
              </w:numPr>
              <w:rPr>
                <w:rFonts w:asciiTheme="minorHAnsi" w:hAnsiTheme="minorHAnsi"/>
                <w:b/>
                <w:sz w:val="20"/>
                <w:szCs w:val="20"/>
              </w:rPr>
            </w:pPr>
            <w:r>
              <w:rPr>
                <w:rFonts w:asciiTheme="minorHAnsi" w:hAnsiTheme="minorHAnsi"/>
                <w:b/>
                <w:sz w:val="20"/>
                <w:szCs w:val="20"/>
              </w:rPr>
              <w:t xml:space="preserve">Parents/carers have received useful information to enhance parenting capacity; lower anxiety; improve behaviour management; ensure school readiness; support learning at home. </w:t>
            </w:r>
          </w:p>
        </w:tc>
      </w:tr>
      <w:tr w:rsidR="009E5732" w:rsidTr="00267800">
        <w:tc>
          <w:tcPr>
            <w:tcW w:w="2263" w:type="dxa"/>
            <w:vMerge/>
            <w:shd w:val="clear" w:color="auto" w:fill="9CC2E5" w:themeFill="accent1" w:themeFillTint="99"/>
          </w:tcPr>
          <w:p w:rsidR="009E5732" w:rsidRDefault="009E5732" w:rsidP="00F409C8">
            <w:pPr>
              <w:jc w:val="center"/>
              <w:rPr>
                <w:b/>
              </w:rPr>
            </w:pPr>
          </w:p>
        </w:tc>
        <w:tc>
          <w:tcPr>
            <w:tcW w:w="5245" w:type="dxa"/>
          </w:tcPr>
          <w:p w:rsidR="009E5732" w:rsidRDefault="009E5732" w:rsidP="005819ED">
            <w:pPr>
              <w:rPr>
                <w:rFonts w:ascii="Calibri" w:hAnsi="Calibri" w:cs="Calibri"/>
                <w:b/>
                <w:sz w:val="20"/>
                <w:szCs w:val="20"/>
              </w:rPr>
            </w:pPr>
            <w:r>
              <w:rPr>
                <w:rFonts w:ascii="Calibri" w:hAnsi="Calibri" w:cs="Calibri"/>
                <w:b/>
                <w:sz w:val="20"/>
                <w:szCs w:val="20"/>
              </w:rPr>
              <w:t>By July 2019 to enhance the way adults meet the needs of a small minority of pupils who, at times, display challenging behaviour.</w:t>
            </w:r>
          </w:p>
        </w:tc>
        <w:tc>
          <w:tcPr>
            <w:tcW w:w="7880" w:type="dxa"/>
          </w:tcPr>
          <w:p w:rsidR="009E5732" w:rsidRDefault="009E5732" w:rsidP="0008688B">
            <w:pPr>
              <w:pStyle w:val="ListParagraph"/>
              <w:numPr>
                <w:ilvl w:val="0"/>
                <w:numId w:val="1"/>
              </w:numPr>
              <w:rPr>
                <w:rFonts w:asciiTheme="minorHAnsi" w:hAnsiTheme="minorHAnsi"/>
                <w:b/>
                <w:sz w:val="20"/>
                <w:szCs w:val="20"/>
              </w:rPr>
            </w:pPr>
            <w:r>
              <w:rPr>
                <w:rFonts w:asciiTheme="minorHAnsi" w:hAnsiTheme="minorHAnsi"/>
                <w:b/>
                <w:sz w:val="20"/>
                <w:szCs w:val="20"/>
              </w:rPr>
              <w:t>Pupils who exhibit more challenging behaviour are well supported through a range of clearly understood strategies to improve and manage their behaviour whilst at school.</w:t>
            </w:r>
          </w:p>
          <w:p w:rsidR="009E5732" w:rsidRDefault="009E5732" w:rsidP="0008688B">
            <w:pPr>
              <w:pStyle w:val="ListParagraph"/>
              <w:numPr>
                <w:ilvl w:val="0"/>
                <w:numId w:val="1"/>
              </w:numPr>
              <w:rPr>
                <w:rFonts w:asciiTheme="minorHAnsi" w:hAnsiTheme="minorHAnsi"/>
                <w:b/>
                <w:sz w:val="20"/>
                <w:szCs w:val="20"/>
              </w:rPr>
            </w:pPr>
            <w:r>
              <w:rPr>
                <w:rFonts w:asciiTheme="minorHAnsi" w:hAnsiTheme="minorHAnsi"/>
                <w:b/>
                <w:sz w:val="20"/>
                <w:szCs w:val="20"/>
              </w:rPr>
              <w:t>Staff feel competent and empowered to manage challenging behaviour effectively.</w:t>
            </w:r>
          </w:p>
        </w:tc>
      </w:tr>
      <w:tr w:rsidR="009E5732" w:rsidTr="00267800">
        <w:tc>
          <w:tcPr>
            <w:tcW w:w="2263" w:type="dxa"/>
            <w:vMerge/>
            <w:shd w:val="clear" w:color="auto" w:fill="9CC2E5" w:themeFill="accent1" w:themeFillTint="99"/>
          </w:tcPr>
          <w:p w:rsidR="009E5732" w:rsidRDefault="009E5732" w:rsidP="00F409C8">
            <w:pPr>
              <w:jc w:val="center"/>
              <w:rPr>
                <w:b/>
              </w:rPr>
            </w:pPr>
          </w:p>
        </w:tc>
        <w:tc>
          <w:tcPr>
            <w:tcW w:w="5245" w:type="dxa"/>
          </w:tcPr>
          <w:p w:rsidR="009E5732" w:rsidRDefault="009E5732" w:rsidP="005819ED">
            <w:pPr>
              <w:rPr>
                <w:rFonts w:ascii="Calibri" w:hAnsi="Calibri" w:cs="Calibri"/>
                <w:b/>
                <w:sz w:val="20"/>
                <w:szCs w:val="20"/>
              </w:rPr>
            </w:pPr>
            <w:r>
              <w:rPr>
                <w:rFonts w:ascii="Calibri" w:hAnsi="Calibri" w:cs="Calibri"/>
                <w:b/>
                <w:sz w:val="20"/>
                <w:szCs w:val="20"/>
              </w:rPr>
              <w:t>By July 2019</w:t>
            </w:r>
            <w:r w:rsidRPr="00DF1ECC">
              <w:rPr>
                <w:rFonts w:ascii="Calibri" w:hAnsi="Calibri" w:cs="Calibri"/>
                <w:b/>
                <w:sz w:val="20"/>
                <w:szCs w:val="20"/>
              </w:rPr>
              <w:t xml:space="preserve"> to </w:t>
            </w:r>
            <w:r>
              <w:rPr>
                <w:rFonts w:ascii="Calibri" w:hAnsi="Calibri" w:cs="Calibri"/>
                <w:b/>
                <w:sz w:val="20"/>
                <w:szCs w:val="20"/>
              </w:rPr>
              <w:t>improve pupil’s behaviour at lunchtimes through the introduction of rotas and extra-curricular activities for groups and individuals in order to develop a culture of support and</w:t>
            </w:r>
            <w:r w:rsidRPr="00DF1ECC">
              <w:rPr>
                <w:rFonts w:ascii="Calibri" w:hAnsi="Calibri" w:cs="Calibri"/>
                <w:b/>
                <w:sz w:val="20"/>
                <w:szCs w:val="20"/>
              </w:rPr>
              <w:t xml:space="preserve"> respect </w:t>
            </w:r>
            <w:r>
              <w:rPr>
                <w:rFonts w:ascii="Calibri" w:hAnsi="Calibri" w:cs="Calibri"/>
                <w:b/>
                <w:sz w:val="20"/>
                <w:szCs w:val="20"/>
              </w:rPr>
              <w:t>for others.</w:t>
            </w:r>
          </w:p>
          <w:p w:rsidR="009E5732" w:rsidRPr="00DF1ECC" w:rsidRDefault="009E5732" w:rsidP="005819ED">
            <w:pPr>
              <w:rPr>
                <w:rFonts w:ascii="Calibri" w:hAnsi="Calibri" w:cs="Calibri"/>
                <w:b/>
                <w:sz w:val="20"/>
                <w:szCs w:val="20"/>
              </w:rPr>
            </w:pPr>
            <w:r>
              <w:rPr>
                <w:rFonts w:ascii="Calibri" w:hAnsi="Calibri" w:cs="Calibri"/>
                <w:b/>
                <w:sz w:val="20"/>
                <w:szCs w:val="20"/>
              </w:rPr>
              <w:t>To provide further opportunities for older children to</w:t>
            </w:r>
            <w:r w:rsidRPr="00DF1ECC">
              <w:rPr>
                <w:rFonts w:ascii="Calibri" w:hAnsi="Calibri" w:cs="Calibri"/>
                <w:b/>
                <w:sz w:val="20"/>
                <w:szCs w:val="20"/>
              </w:rPr>
              <w:t xml:space="preserve"> nurture younger pupils in the school</w:t>
            </w:r>
            <w:r>
              <w:rPr>
                <w:rFonts w:ascii="Calibri" w:hAnsi="Calibri" w:cs="Calibri"/>
                <w:b/>
                <w:sz w:val="20"/>
                <w:szCs w:val="20"/>
              </w:rPr>
              <w:t xml:space="preserve"> at lunchtimes</w:t>
            </w:r>
          </w:p>
          <w:p w:rsidR="009E5732" w:rsidRPr="00DF1ECC" w:rsidRDefault="009E5732" w:rsidP="00F409C8">
            <w:pPr>
              <w:rPr>
                <w:b/>
                <w:sz w:val="20"/>
                <w:szCs w:val="20"/>
              </w:rPr>
            </w:pPr>
          </w:p>
        </w:tc>
        <w:tc>
          <w:tcPr>
            <w:tcW w:w="7880" w:type="dxa"/>
          </w:tcPr>
          <w:p w:rsidR="009E5732" w:rsidRPr="000132D6" w:rsidRDefault="009E5732" w:rsidP="0008688B">
            <w:pPr>
              <w:pStyle w:val="ListParagraph"/>
              <w:numPr>
                <w:ilvl w:val="0"/>
                <w:numId w:val="1"/>
              </w:numPr>
              <w:rPr>
                <w:b/>
                <w:sz w:val="20"/>
                <w:szCs w:val="20"/>
              </w:rPr>
            </w:pPr>
            <w:r>
              <w:rPr>
                <w:rFonts w:asciiTheme="minorHAnsi" w:hAnsiTheme="minorHAnsi"/>
                <w:b/>
                <w:sz w:val="20"/>
                <w:szCs w:val="20"/>
              </w:rPr>
              <w:t>There is a recognised collective responsibility for improving pupil behaviour at lunchtimes</w:t>
            </w:r>
          </w:p>
          <w:p w:rsidR="009E5732" w:rsidRPr="0008688B" w:rsidRDefault="009E5732" w:rsidP="0008688B">
            <w:pPr>
              <w:pStyle w:val="ListParagraph"/>
              <w:numPr>
                <w:ilvl w:val="0"/>
                <w:numId w:val="1"/>
              </w:numPr>
              <w:rPr>
                <w:b/>
                <w:sz w:val="20"/>
                <w:szCs w:val="20"/>
              </w:rPr>
            </w:pPr>
            <w:r w:rsidRPr="00DF1ECC">
              <w:rPr>
                <w:rFonts w:asciiTheme="minorHAnsi" w:hAnsiTheme="minorHAnsi"/>
                <w:b/>
                <w:sz w:val="20"/>
                <w:szCs w:val="20"/>
              </w:rPr>
              <w:t>There are a range</w:t>
            </w:r>
            <w:r>
              <w:rPr>
                <w:rFonts w:asciiTheme="minorHAnsi" w:hAnsiTheme="minorHAnsi"/>
                <w:b/>
                <w:sz w:val="20"/>
                <w:szCs w:val="20"/>
              </w:rPr>
              <w:t xml:space="preserve"> of clearly identifiable systems</w:t>
            </w:r>
            <w:r w:rsidRPr="00DF1ECC">
              <w:rPr>
                <w:rFonts w:asciiTheme="minorHAnsi" w:hAnsiTheme="minorHAnsi"/>
                <w:b/>
                <w:sz w:val="20"/>
                <w:szCs w:val="20"/>
              </w:rPr>
              <w:t xml:space="preserve"> in place to allow younger children in the school </w:t>
            </w:r>
            <w:r>
              <w:rPr>
                <w:rFonts w:asciiTheme="minorHAnsi" w:hAnsiTheme="minorHAnsi"/>
                <w:b/>
                <w:sz w:val="20"/>
                <w:szCs w:val="20"/>
              </w:rPr>
              <w:t>to be supported by older pupils.</w:t>
            </w:r>
          </w:p>
          <w:p w:rsidR="009E5732" w:rsidRPr="0008688B" w:rsidRDefault="009E5732" w:rsidP="0008688B">
            <w:pPr>
              <w:pStyle w:val="ListParagraph"/>
              <w:numPr>
                <w:ilvl w:val="0"/>
                <w:numId w:val="1"/>
              </w:numPr>
              <w:rPr>
                <w:b/>
                <w:sz w:val="20"/>
                <w:szCs w:val="20"/>
              </w:rPr>
            </w:pPr>
            <w:r w:rsidRPr="00DF1ECC">
              <w:rPr>
                <w:rFonts w:asciiTheme="minorHAnsi" w:hAnsiTheme="minorHAnsi"/>
                <w:b/>
                <w:sz w:val="20"/>
                <w:szCs w:val="20"/>
              </w:rPr>
              <w:t>There are a range</w:t>
            </w:r>
            <w:r>
              <w:rPr>
                <w:rFonts w:asciiTheme="minorHAnsi" w:hAnsiTheme="minorHAnsi"/>
                <w:b/>
                <w:sz w:val="20"/>
                <w:szCs w:val="20"/>
              </w:rPr>
              <w:t xml:space="preserve"> of clearly identifiable systems</w:t>
            </w:r>
            <w:r w:rsidRPr="00DF1ECC">
              <w:rPr>
                <w:rFonts w:asciiTheme="minorHAnsi" w:hAnsiTheme="minorHAnsi"/>
                <w:b/>
                <w:sz w:val="20"/>
                <w:szCs w:val="20"/>
              </w:rPr>
              <w:t xml:space="preserve"> in place to </w:t>
            </w:r>
            <w:r>
              <w:rPr>
                <w:rFonts w:asciiTheme="minorHAnsi" w:hAnsiTheme="minorHAnsi"/>
                <w:b/>
                <w:sz w:val="20"/>
                <w:szCs w:val="20"/>
              </w:rPr>
              <w:t>support MDMS in their role.</w:t>
            </w:r>
          </w:p>
          <w:p w:rsidR="009E5732" w:rsidRPr="00DF1ECC" w:rsidRDefault="009E5732" w:rsidP="0008688B">
            <w:pPr>
              <w:pStyle w:val="ListParagraph"/>
              <w:numPr>
                <w:ilvl w:val="0"/>
                <w:numId w:val="1"/>
              </w:numPr>
              <w:rPr>
                <w:b/>
                <w:sz w:val="20"/>
                <w:szCs w:val="20"/>
              </w:rPr>
            </w:pPr>
            <w:r w:rsidRPr="00DF1ECC">
              <w:rPr>
                <w:rFonts w:ascii="Calibri" w:hAnsi="Calibri" w:cs="Calibri"/>
                <w:b/>
                <w:sz w:val="20"/>
                <w:szCs w:val="20"/>
              </w:rPr>
              <w:t>Pupils choose from a taught repertoire of games and activities designed to further improve behaviour and empathy on the playground.</w:t>
            </w:r>
          </w:p>
          <w:p w:rsidR="009E5732" w:rsidRPr="0008688B" w:rsidRDefault="009E5732" w:rsidP="0008688B">
            <w:pPr>
              <w:pStyle w:val="ListParagraph"/>
              <w:rPr>
                <w:b/>
                <w:sz w:val="20"/>
                <w:szCs w:val="20"/>
              </w:rPr>
            </w:pPr>
          </w:p>
        </w:tc>
      </w:tr>
      <w:tr w:rsidR="009E5732" w:rsidTr="00267800">
        <w:tc>
          <w:tcPr>
            <w:tcW w:w="2263" w:type="dxa"/>
            <w:vMerge/>
            <w:shd w:val="clear" w:color="auto" w:fill="9CC2E5" w:themeFill="accent1" w:themeFillTint="99"/>
          </w:tcPr>
          <w:p w:rsidR="009E5732" w:rsidRDefault="009E5732" w:rsidP="00F409C8">
            <w:pPr>
              <w:jc w:val="center"/>
              <w:rPr>
                <w:b/>
              </w:rPr>
            </w:pPr>
          </w:p>
        </w:tc>
        <w:tc>
          <w:tcPr>
            <w:tcW w:w="5245" w:type="dxa"/>
          </w:tcPr>
          <w:p w:rsidR="009E5732" w:rsidRPr="00DF1ECC" w:rsidRDefault="009E5732" w:rsidP="00F14A0B">
            <w:pPr>
              <w:rPr>
                <w:rFonts w:ascii="Calibri" w:hAnsi="Calibri" w:cs="Calibri"/>
                <w:b/>
                <w:sz w:val="20"/>
                <w:szCs w:val="20"/>
              </w:rPr>
            </w:pPr>
            <w:r>
              <w:rPr>
                <w:rFonts w:ascii="Calibri" w:hAnsi="Calibri" w:cs="Calibri"/>
                <w:b/>
                <w:sz w:val="20"/>
                <w:szCs w:val="20"/>
              </w:rPr>
              <w:t xml:space="preserve">By July 2019 to ensure an age appropriate,  developmental approach to understanding the importance of developing a ‘Growth Mindset’ </w:t>
            </w:r>
          </w:p>
        </w:tc>
        <w:tc>
          <w:tcPr>
            <w:tcW w:w="7880" w:type="dxa"/>
          </w:tcPr>
          <w:p w:rsidR="009E5732" w:rsidRPr="00DF1ECC" w:rsidRDefault="009E5732" w:rsidP="00F14A0B">
            <w:pPr>
              <w:pStyle w:val="ListParagraph"/>
              <w:numPr>
                <w:ilvl w:val="0"/>
                <w:numId w:val="18"/>
              </w:numPr>
              <w:rPr>
                <w:rFonts w:ascii="Calibri" w:hAnsi="Calibri" w:cs="Calibri"/>
                <w:b/>
                <w:sz w:val="20"/>
                <w:szCs w:val="20"/>
              </w:rPr>
            </w:pPr>
            <w:r>
              <w:rPr>
                <w:rFonts w:ascii="Calibri" w:hAnsi="Calibri" w:cs="Calibri"/>
                <w:b/>
                <w:sz w:val="20"/>
                <w:szCs w:val="20"/>
              </w:rPr>
              <w:t xml:space="preserve">Pupils receive targeted teaching and further opportunities to cultivate and understand the importance of developing the traits and characteristics associated with a  growth mindset </w:t>
            </w:r>
          </w:p>
        </w:tc>
      </w:tr>
      <w:tr w:rsidR="009E5732" w:rsidTr="00267800">
        <w:tc>
          <w:tcPr>
            <w:tcW w:w="2263" w:type="dxa"/>
            <w:vMerge/>
            <w:shd w:val="clear" w:color="auto" w:fill="9CC2E5" w:themeFill="accent1" w:themeFillTint="99"/>
          </w:tcPr>
          <w:p w:rsidR="009E5732" w:rsidRDefault="009E5732" w:rsidP="007C0DEF">
            <w:pPr>
              <w:jc w:val="center"/>
              <w:rPr>
                <w:b/>
              </w:rPr>
            </w:pPr>
          </w:p>
        </w:tc>
        <w:tc>
          <w:tcPr>
            <w:tcW w:w="5245" w:type="dxa"/>
          </w:tcPr>
          <w:p w:rsidR="009E5732" w:rsidRPr="00DF1ECC" w:rsidRDefault="009E5732" w:rsidP="007C0DEF">
            <w:pPr>
              <w:rPr>
                <w:b/>
                <w:sz w:val="20"/>
                <w:szCs w:val="20"/>
              </w:rPr>
            </w:pPr>
            <w:r w:rsidRPr="00DF1ECC">
              <w:rPr>
                <w:b/>
                <w:sz w:val="20"/>
                <w:szCs w:val="20"/>
              </w:rPr>
              <w:t xml:space="preserve">By July 2019 to further develop training opportunities for Teaching Assistants and Learning Support Assistants in order to improve and sustain high quality </w:t>
            </w:r>
            <w:r>
              <w:rPr>
                <w:b/>
                <w:sz w:val="20"/>
                <w:szCs w:val="20"/>
              </w:rPr>
              <w:t>teaching and learning.</w:t>
            </w:r>
          </w:p>
        </w:tc>
        <w:tc>
          <w:tcPr>
            <w:tcW w:w="7880" w:type="dxa"/>
          </w:tcPr>
          <w:p w:rsidR="009E5732" w:rsidRPr="00DF1ECC" w:rsidRDefault="009E5732" w:rsidP="00EA5ECB">
            <w:pPr>
              <w:pStyle w:val="ListParagraph"/>
              <w:numPr>
                <w:ilvl w:val="0"/>
                <w:numId w:val="3"/>
              </w:numPr>
              <w:rPr>
                <w:rFonts w:asciiTheme="minorHAnsi" w:hAnsiTheme="minorHAnsi"/>
                <w:b/>
                <w:sz w:val="20"/>
                <w:szCs w:val="20"/>
              </w:rPr>
            </w:pPr>
            <w:r>
              <w:rPr>
                <w:rFonts w:asciiTheme="minorHAnsi" w:hAnsiTheme="minorHAnsi"/>
                <w:b/>
                <w:sz w:val="20"/>
                <w:szCs w:val="20"/>
              </w:rPr>
              <w:t xml:space="preserve">In-house and external </w:t>
            </w:r>
            <w:r w:rsidRPr="00DF1ECC">
              <w:rPr>
                <w:rFonts w:asciiTheme="minorHAnsi" w:hAnsiTheme="minorHAnsi"/>
                <w:b/>
                <w:sz w:val="20"/>
                <w:szCs w:val="20"/>
              </w:rPr>
              <w:t>training oppo</w:t>
            </w:r>
            <w:r>
              <w:rPr>
                <w:rFonts w:asciiTheme="minorHAnsi" w:hAnsiTheme="minorHAnsi"/>
                <w:b/>
                <w:sz w:val="20"/>
                <w:szCs w:val="20"/>
              </w:rPr>
              <w:t>rtunities upskill support staff</w:t>
            </w:r>
            <w:r w:rsidRPr="00DF1ECC">
              <w:rPr>
                <w:rFonts w:asciiTheme="minorHAnsi" w:hAnsiTheme="minorHAnsi"/>
                <w:b/>
                <w:sz w:val="20"/>
                <w:szCs w:val="20"/>
              </w:rPr>
              <w:t xml:space="preserve"> and further improve their confidence and ability to </w:t>
            </w:r>
            <w:r>
              <w:rPr>
                <w:rFonts w:asciiTheme="minorHAnsi" w:hAnsiTheme="minorHAnsi"/>
                <w:b/>
                <w:sz w:val="20"/>
                <w:szCs w:val="20"/>
              </w:rPr>
              <w:t>support learning and consistently apply policy and practice throughout the school.</w:t>
            </w:r>
          </w:p>
        </w:tc>
      </w:tr>
      <w:tr w:rsidR="009E5732" w:rsidTr="00267800">
        <w:tc>
          <w:tcPr>
            <w:tcW w:w="2263" w:type="dxa"/>
            <w:vMerge/>
            <w:shd w:val="clear" w:color="auto" w:fill="9CC2E5" w:themeFill="accent1" w:themeFillTint="99"/>
          </w:tcPr>
          <w:p w:rsidR="009E5732" w:rsidRDefault="009E5732" w:rsidP="007C0DEF">
            <w:pPr>
              <w:jc w:val="center"/>
              <w:rPr>
                <w:b/>
              </w:rPr>
            </w:pPr>
          </w:p>
        </w:tc>
        <w:tc>
          <w:tcPr>
            <w:tcW w:w="5245" w:type="dxa"/>
          </w:tcPr>
          <w:p w:rsidR="009E5732" w:rsidRPr="009C7DC8" w:rsidRDefault="009E5732" w:rsidP="007C0DEF">
            <w:pPr>
              <w:rPr>
                <w:b/>
                <w:sz w:val="20"/>
                <w:szCs w:val="20"/>
              </w:rPr>
            </w:pPr>
            <w:r w:rsidRPr="009C7DC8">
              <w:rPr>
                <w:b/>
                <w:sz w:val="20"/>
                <w:szCs w:val="20"/>
              </w:rPr>
              <w:t>By July 2019 to ensure the workload associated with teaching is effectively distributed throughout each term in order for teachers to feel less overloaded by their role.</w:t>
            </w:r>
          </w:p>
        </w:tc>
        <w:tc>
          <w:tcPr>
            <w:tcW w:w="7880" w:type="dxa"/>
          </w:tcPr>
          <w:p w:rsidR="009E5732" w:rsidRPr="009C7DC8" w:rsidRDefault="009E5732" w:rsidP="00A6480E">
            <w:pPr>
              <w:pStyle w:val="ListParagraph"/>
              <w:numPr>
                <w:ilvl w:val="0"/>
                <w:numId w:val="3"/>
              </w:numPr>
              <w:rPr>
                <w:rFonts w:asciiTheme="minorHAnsi" w:hAnsiTheme="minorHAnsi"/>
                <w:b/>
                <w:sz w:val="20"/>
                <w:szCs w:val="20"/>
              </w:rPr>
            </w:pPr>
            <w:r w:rsidRPr="009C7DC8">
              <w:rPr>
                <w:rFonts w:asciiTheme="minorHAnsi" w:hAnsiTheme="minorHAnsi"/>
                <w:b/>
                <w:sz w:val="20"/>
                <w:szCs w:val="20"/>
              </w:rPr>
              <w:t>Well-being survey results 2018-2019 reflect higher scores to questions linked to control of workload and pace of work.</w:t>
            </w:r>
          </w:p>
        </w:tc>
      </w:tr>
      <w:tr w:rsidR="009E5732" w:rsidTr="009C7DC8">
        <w:tc>
          <w:tcPr>
            <w:tcW w:w="2263" w:type="dxa"/>
            <w:vMerge/>
            <w:shd w:val="clear" w:color="auto" w:fill="9CC2E5" w:themeFill="accent1" w:themeFillTint="99"/>
          </w:tcPr>
          <w:p w:rsidR="009E5732" w:rsidRDefault="009E5732" w:rsidP="007C0DEF">
            <w:pPr>
              <w:jc w:val="center"/>
              <w:rPr>
                <w:b/>
              </w:rPr>
            </w:pPr>
          </w:p>
        </w:tc>
        <w:tc>
          <w:tcPr>
            <w:tcW w:w="5245" w:type="dxa"/>
            <w:shd w:val="clear" w:color="auto" w:fill="auto"/>
          </w:tcPr>
          <w:p w:rsidR="009E5732" w:rsidRPr="009C7DC8" w:rsidRDefault="009E5732" w:rsidP="009C7DC8">
            <w:pPr>
              <w:rPr>
                <w:b/>
                <w:sz w:val="20"/>
                <w:szCs w:val="20"/>
              </w:rPr>
            </w:pPr>
            <w:r w:rsidRPr="009C7DC8">
              <w:rPr>
                <w:b/>
                <w:sz w:val="20"/>
                <w:szCs w:val="20"/>
              </w:rPr>
              <w:t>By July 2019 to ensure PSHE teaching and learning</w:t>
            </w:r>
            <w:r w:rsidR="009C7DC8" w:rsidRPr="009C7DC8">
              <w:rPr>
                <w:b/>
                <w:sz w:val="20"/>
                <w:szCs w:val="20"/>
              </w:rPr>
              <w:t xml:space="preserve"> takes a collective, </w:t>
            </w:r>
            <w:r w:rsidR="009C7DC8" w:rsidRPr="009C7DC8">
              <w:rPr>
                <w:rFonts w:ascii="Calibri" w:hAnsi="Calibri" w:cs="Calibri"/>
                <w:b/>
                <w:sz w:val="20"/>
                <w:szCs w:val="20"/>
              </w:rPr>
              <w:t>age appropriate, developmental approach to gaining skills through regular, consistent learning opportunities linked to the school ethos.</w:t>
            </w:r>
          </w:p>
        </w:tc>
        <w:tc>
          <w:tcPr>
            <w:tcW w:w="7880" w:type="dxa"/>
          </w:tcPr>
          <w:p w:rsidR="009C7DC8" w:rsidRDefault="009C7DC8" w:rsidP="009C7DC8">
            <w:pPr>
              <w:pStyle w:val="ListParagraph"/>
              <w:numPr>
                <w:ilvl w:val="0"/>
                <w:numId w:val="3"/>
              </w:numPr>
              <w:rPr>
                <w:rFonts w:asciiTheme="minorHAnsi" w:hAnsiTheme="minorHAnsi"/>
                <w:b/>
                <w:sz w:val="20"/>
                <w:szCs w:val="20"/>
              </w:rPr>
            </w:pPr>
            <w:r>
              <w:rPr>
                <w:rFonts w:asciiTheme="minorHAnsi" w:hAnsiTheme="minorHAnsi"/>
                <w:b/>
                <w:sz w:val="20"/>
                <w:szCs w:val="20"/>
              </w:rPr>
              <w:t>There is a consistent approach across the school using an agreed shared vocabulary.</w:t>
            </w:r>
          </w:p>
          <w:p w:rsidR="009C7DC8" w:rsidRDefault="009C7DC8" w:rsidP="009C7DC8">
            <w:pPr>
              <w:pStyle w:val="ListParagraph"/>
              <w:numPr>
                <w:ilvl w:val="0"/>
                <w:numId w:val="3"/>
              </w:numPr>
              <w:rPr>
                <w:rFonts w:asciiTheme="minorHAnsi" w:hAnsiTheme="minorHAnsi"/>
                <w:b/>
                <w:sz w:val="20"/>
                <w:szCs w:val="20"/>
              </w:rPr>
            </w:pPr>
            <w:r>
              <w:rPr>
                <w:rFonts w:asciiTheme="minorHAnsi" w:hAnsiTheme="minorHAnsi"/>
                <w:b/>
                <w:sz w:val="20"/>
                <w:szCs w:val="20"/>
              </w:rPr>
              <w:t>D</w:t>
            </w:r>
            <w:r w:rsidRPr="00214B39">
              <w:rPr>
                <w:rFonts w:asciiTheme="minorHAnsi" w:hAnsiTheme="minorHAnsi"/>
                <w:b/>
                <w:sz w:val="20"/>
                <w:szCs w:val="20"/>
              </w:rPr>
              <w:t>ifferentiation</w:t>
            </w:r>
            <w:r>
              <w:rPr>
                <w:rFonts w:asciiTheme="minorHAnsi" w:hAnsiTheme="minorHAnsi"/>
                <w:b/>
                <w:sz w:val="20"/>
                <w:szCs w:val="20"/>
              </w:rPr>
              <w:t xml:space="preserve"> in approach</w:t>
            </w:r>
            <w:r w:rsidR="001F2F21">
              <w:rPr>
                <w:rFonts w:asciiTheme="minorHAnsi" w:hAnsiTheme="minorHAnsi"/>
                <w:b/>
                <w:sz w:val="20"/>
                <w:szCs w:val="20"/>
              </w:rPr>
              <w:t xml:space="preserve"> to meeting the needs of individuals</w:t>
            </w:r>
            <w:r w:rsidRPr="00214B39">
              <w:rPr>
                <w:rFonts w:asciiTheme="minorHAnsi" w:hAnsiTheme="minorHAnsi"/>
                <w:b/>
                <w:sz w:val="20"/>
                <w:szCs w:val="20"/>
              </w:rPr>
              <w:t xml:space="preserve"> is evident and effective in enhancing learning opportunities for all individuals and groups of pupils.</w:t>
            </w:r>
          </w:p>
          <w:p w:rsidR="009E5732" w:rsidRPr="009C7DC8" w:rsidRDefault="009E5732" w:rsidP="009C7DC8">
            <w:pPr>
              <w:pStyle w:val="ListParagraph"/>
              <w:numPr>
                <w:ilvl w:val="0"/>
                <w:numId w:val="3"/>
              </w:numPr>
              <w:rPr>
                <w:rFonts w:asciiTheme="minorHAnsi" w:hAnsiTheme="minorHAnsi"/>
                <w:b/>
                <w:sz w:val="20"/>
                <w:szCs w:val="20"/>
              </w:rPr>
            </w:pPr>
            <w:r w:rsidRPr="009C7DC8">
              <w:rPr>
                <w:rFonts w:asciiTheme="minorHAnsi" w:hAnsiTheme="minorHAnsi"/>
                <w:b/>
                <w:sz w:val="20"/>
                <w:szCs w:val="20"/>
              </w:rPr>
              <w:t>Year group planning enables the shared content of PSHE and Science to be covered in the most efficient way.</w:t>
            </w:r>
          </w:p>
          <w:p w:rsidR="009C7DC8" w:rsidRPr="001F2F21" w:rsidRDefault="009C7DC8" w:rsidP="001F2F21">
            <w:pPr>
              <w:rPr>
                <w:b/>
                <w:sz w:val="20"/>
                <w:szCs w:val="20"/>
              </w:rPr>
            </w:pPr>
          </w:p>
        </w:tc>
      </w:tr>
      <w:tr w:rsidR="007C0DEF" w:rsidTr="00267800">
        <w:trPr>
          <w:trHeight w:val="866"/>
        </w:trPr>
        <w:tc>
          <w:tcPr>
            <w:tcW w:w="2263" w:type="dxa"/>
            <w:vMerge w:val="restart"/>
            <w:shd w:val="clear" w:color="auto" w:fill="A8D08D" w:themeFill="accent6" w:themeFillTint="99"/>
          </w:tcPr>
          <w:p w:rsidR="007C0DEF" w:rsidRDefault="007C0DEF" w:rsidP="007C0DEF">
            <w:pPr>
              <w:jc w:val="center"/>
              <w:rPr>
                <w:b/>
              </w:rPr>
            </w:pPr>
            <w:r>
              <w:rPr>
                <w:b/>
              </w:rPr>
              <w:lastRenderedPageBreak/>
              <w:t>Goal D</w:t>
            </w:r>
          </w:p>
          <w:p w:rsidR="007C0DEF" w:rsidRDefault="007C0DEF" w:rsidP="007C0DEF">
            <w:pPr>
              <w:jc w:val="center"/>
              <w:rPr>
                <w:b/>
              </w:rPr>
            </w:pPr>
            <w:r>
              <w:rPr>
                <w:b/>
              </w:rPr>
              <w:t>PUPIL OUTCOMES</w:t>
            </w:r>
          </w:p>
        </w:tc>
        <w:tc>
          <w:tcPr>
            <w:tcW w:w="5245" w:type="dxa"/>
          </w:tcPr>
          <w:p w:rsidR="007C0DEF" w:rsidRPr="00DF1ECC" w:rsidRDefault="007C0DEF" w:rsidP="007C0DEF">
            <w:pPr>
              <w:rPr>
                <w:b/>
                <w:sz w:val="20"/>
                <w:szCs w:val="20"/>
              </w:rPr>
            </w:pPr>
            <w:r w:rsidRPr="00DF1ECC">
              <w:rPr>
                <w:b/>
                <w:sz w:val="20"/>
                <w:szCs w:val="20"/>
              </w:rPr>
              <w:t>By July 2019 to maintain and, where possible, improve the consistently high pupil outcomes achieved at JHSW, as measured by statutory assessment during EYFS and KS1.</w:t>
            </w:r>
          </w:p>
        </w:tc>
        <w:tc>
          <w:tcPr>
            <w:tcW w:w="7880" w:type="dxa"/>
          </w:tcPr>
          <w:p w:rsidR="007C0DEF" w:rsidRPr="00DF1ECC" w:rsidRDefault="007C0DEF" w:rsidP="007C0DEF">
            <w:pPr>
              <w:pStyle w:val="ListParagraph"/>
              <w:numPr>
                <w:ilvl w:val="0"/>
                <w:numId w:val="20"/>
              </w:numPr>
              <w:rPr>
                <w:rFonts w:asciiTheme="minorHAnsi" w:hAnsiTheme="minorHAnsi"/>
                <w:b/>
                <w:sz w:val="20"/>
                <w:szCs w:val="20"/>
              </w:rPr>
            </w:pPr>
            <w:r w:rsidRPr="00DF1ECC">
              <w:rPr>
                <w:rFonts w:asciiTheme="minorHAnsi" w:hAnsiTheme="minorHAnsi"/>
                <w:b/>
                <w:sz w:val="20"/>
                <w:szCs w:val="20"/>
              </w:rPr>
              <w:t>There is a clear and shared collective understanding of what constitutes performance at the Age Related Expectation for each area using nationally and locally agreed exemplification.</w:t>
            </w:r>
          </w:p>
          <w:p w:rsidR="007C0DEF" w:rsidRPr="00DF1ECC" w:rsidRDefault="007C0DEF" w:rsidP="007C0DEF">
            <w:pPr>
              <w:pStyle w:val="ListParagraph"/>
              <w:numPr>
                <w:ilvl w:val="0"/>
                <w:numId w:val="20"/>
              </w:numPr>
              <w:rPr>
                <w:rFonts w:asciiTheme="minorHAnsi" w:hAnsiTheme="minorHAnsi"/>
                <w:b/>
                <w:sz w:val="20"/>
                <w:szCs w:val="20"/>
              </w:rPr>
            </w:pPr>
            <w:r w:rsidRPr="00DF1ECC">
              <w:rPr>
                <w:rFonts w:asciiTheme="minorHAnsi" w:hAnsiTheme="minorHAnsi"/>
                <w:b/>
                <w:sz w:val="20"/>
                <w:szCs w:val="20"/>
              </w:rPr>
              <w:t>Regular opportunities for high quality summative assessment of Reading, Writing, Maths, Science and Phonics allows attainment and progress to be measured in line with Monitoring and Evaluation Policy and Assessment Policy.</w:t>
            </w:r>
          </w:p>
          <w:p w:rsidR="007C0DEF" w:rsidRPr="00DF1ECC" w:rsidRDefault="007C0DEF" w:rsidP="007C0DEF">
            <w:pPr>
              <w:pStyle w:val="ListParagraph"/>
              <w:numPr>
                <w:ilvl w:val="0"/>
                <w:numId w:val="20"/>
              </w:numPr>
              <w:rPr>
                <w:rFonts w:asciiTheme="minorHAnsi" w:hAnsiTheme="minorHAnsi"/>
                <w:b/>
                <w:sz w:val="20"/>
                <w:szCs w:val="20"/>
              </w:rPr>
            </w:pPr>
            <w:r w:rsidRPr="00DF1ECC">
              <w:rPr>
                <w:rFonts w:asciiTheme="minorHAnsi" w:hAnsiTheme="minorHAnsi"/>
                <w:b/>
                <w:sz w:val="20"/>
                <w:szCs w:val="20"/>
              </w:rPr>
              <w:t>High standards in all statutory assessments are maintained or improved.</w:t>
            </w:r>
          </w:p>
        </w:tc>
      </w:tr>
      <w:tr w:rsidR="007C0DEF" w:rsidTr="00267800">
        <w:tc>
          <w:tcPr>
            <w:tcW w:w="2263" w:type="dxa"/>
            <w:vMerge/>
            <w:shd w:val="clear" w:color="auto" w:fill="A8D08D" w:themeFill="accent6" w:themeFillTint="99"/>
          </w:tcPr>
          <w:p w:rsidR="007C0DEF" w:rsidRDefault="007C0DEF" w:rsidP="007C0DEF">
            <w:pPr>
              <w:jc w:val="center"/>
              <w:rPr>
                <w:b/>
              </w:rPr>
            </w:pPr>
          </w:p>
        </w:tc>
        <w:tc>
          <w:tcPr>
            <w:tcW w:w="5245" w:type="dxa"/>
          </w:tcPr>
          <w:p w:rsidR="007C0DEF" w:rsidRPr="00DF1ECC" w:rsidRDefault="007C0DEF" w:rsidP="007C0DEF">
            <w:pPr>
              <w:rPr>
                <w:b/>
                <w:sz w:val="20"/>
                <w:szCs w:val="20"/>
              </w:rPr>
            </w:pPr>
            <w:r w:rsidRPr="00DF1ECC">
              <w:rPr>
                <w:b/>
                <w:sz w:val="20"/>
                <w:szCs w:val="20"/>
              </w:rPr>
              <w:t xml:space="preserve">By July 2019 to ensure that at least 90% of pupils who have spent their whole time at JHSW make expected progress from the end of EYFS, in Phonics, Reading, Writing and Mathematics </w:t>
            </w:r>
          </w:p>
        </w:tc>
        <w:tc>
          <w:tcPr>
            <w:tcW w:w="7880" w:type="dxa"/>
          </w:tcPr>
          <w:p w:rsidR="007C0DEF" w:rsidRPr="00DF1ECC" w:rsidRDefault="007C0DEF" w:rsidP="007C0DEF">
            <w:pPr>
              <w:pStyle w:val="ListParagraph"/>
              <w:numPr>
                <w:ilvl w:val="0"/>
                <w:numId w:val="22"/>
              </w:numPr>
              <w:rPr>
                <w:rFonts w:asciiTheme="minorHAnsi" w:hAnsiTheme="minorHAnsi"/>
                <w:b/>
                <w:sz w:val="20"/>
                <w:szCs w:val="20"/>
              </w:rPr>
            </w:pPr>
            <w:r w:rsidRPr="00DF1ECC">
              <w:rPr>
                <w:rFonts w:asciiTheme="minorHAnsi" w:hAnsiTheme="minorHAnsi"/>
                <w:b/>
                <w:sz w:val="20"/>
                <w:szCs w:val="20"/>
              </w:rPr>
              <w:t>Comprehensive target setting, specific interventions and necessary support is in place for all pupils to enable each individual to make appropriate progress in the development of key skills and knowledge.</w:t>
            </w:r>
          </w:p>
        </w:tc>
      </w:tr>
      <w:tr w:rsidR="007C0DEF" w:rsidTr="00267800">
        <w:tc>
          <w:tcPr>
            <w:tcW w:w="2263" w:type="dxa"/>
            <w:vMerge/>
            <w:shd w:val="clear" w:color="auto" w:fill="A8D08D" w:themeFill="accent6" w:themeFillTint="99"/>
          </w:tcPr>
          <w:p w:rsidR="007C0DEF" w:rsidRDefault="007C0DEF" w:rsidP="007C0DEF">
            <w:pPr>
              <w:jc w:val="center"/>
              <w:rPr>
                <w:b/>
              </w:rPr>
            </w:pPr>
          </w:p>
        </w:tc>
        <w:tc>
          <w:tcPr>
            <w:tcW w:w="5245" w:type="dxa"/>
          </w:tcPr>
          <w:p w:rsidR="007C0DEF" w:rsidRPr="00DF1ECC" w:rsidRDefault="007C0DEF" w:rsidP="007C0DEF">
            <w:pPr>
              <w:rPr>
                <w:b/>
                <w:sz w:val="20"/>
                <w:szCs w:val="20"/>
              </w:rPr>
            </w:pPr>
            <w:r w:rsidRPr="00DF1ECC">
              <w:rPr>
                <w:b/>
                <w:sz w:val="20"/>
                <w:szCs w:val="20"/>
              </w:rPr>
              <w:t>By July 2019 to ensure that the difference in outcomes for boys and girls is reduced as far as possible in writing and maths.</w:t>
            </w:r>
          </w:p>
        </w:tc>
        <w:tc>
          <w:tcPr>
            <w:tcW w:w="7880" w:type="dxa"/>
          </w:tcPr>
          <w:p w:rsidR="007C0DEF" w:rsidRPr="00DF1ECC" w:rsidRDefault="007C0DEF" w:rsidP="007C0DEF">
            <w:pPr>
              <w:pStyle w:val="ListParagraph"/>
              <w:numPr>
                <w:ilvl w:val="0"/>
                <w:numId w:val="22"/>
              </w:numPr>
              <w:rPr>
                <w:rFonts w:asciiTheme="minorHAnsi" w:hAnsiTheme="minorHAnsi"/>
                <w:b/>
                <w:sz w:val="20"/>
                <w:szCs w:val="20"/>
              </w:rPr>
            </w:pPr>
            <w:r w:rsidRPr="00DF1ECC">
              <w:rPr>
                <w:rFonts w:asciiTheme="minorHAnsi" w:hAnsiTheme="minorHAnsi"/>
                <w:b/>
                <w:sz w:val="20"/>
                <w:szCs w:val="20"/>
              </w:rPr>
              <w:t>Outcomes for girls and boys in terms of attainment and progress linked to writing and maths reflect diminishing differences between these two groups.</w:t>
            </w:r>
          </w:p>
        </w:tc>
      </w:tr>
      <w:tr w:rsidR="007C0DEF" w:rsidTr="00267800">
        <w:tc>
          <w:tcPr>
            <w:tcW w:w="2263" w:type="dxa"/>
            <w:vMerge/>
            <w:shd w:val="clear" w:color="auto" w:fill="A8D08D" w:themeFill="accent6" w:themeFillTint="99"/>
          </w:tcPr>
          <w:p w:rsidR="007C0DEF" w:rsidRDefault="007C0DEF" w:rsidP="007C0DEF">
            <w:pPr>
              <w:jc w:val="center"/>
              <w:rPr>
                <w:b/>
              </w:rPr>
            </w:pPr>
          </w:p>
        </w:tc>
        <w:tc>
          <w:tcPr>
            <w:tcW w:w="5245" w:type="dxa"/>
          </w:tcPr>
          <w:p w:rsidR="007C0DEF" w:rsidRPr="00DF1ECC" w:rsidRDefault="007C0DEF" w:rsidP="007C0DEF">
            <w:pPr>
              <w:rPr>
                <w:b/>
                <w:sz w:val="20"/>
                <w:szCs w:val="20"/>
              </w:rPr>
            </w:pPr>
            <w:r w:rsidRPr="00DF1ECC">
              <w:rPr>
                <w:b/>
                <w:sz w:val="20"/>
                <w:szCs w:val="20"/>
              </w:rPr>
              <w:t>By July 2019 to ensure that there are high expectations and levels of support for identified groups of pupils  (PP, EAL, Most Able, SEN) to ensure diminishing differences when compared with all other pupils nationally</w:t>
            </w:r>
          </w:p>
        </w:tc>
        <w:tc>
          <w:tcPr>
            <w:tcW w:w="7880" w:type="dxa"/>
          </w:tcPr>
          <w:p w:rsidR="007C0DEF" w:rsidRPr="00DF1ECC" w:rsidRDefault="007C0DEF" w:rsidP="007C0DEF">
            <w:pPr>
              <w:pStyle w:val="ListParagraph"/>
              <w:numPr>
                <w:ilvl w:val="0"/>
                <w:numId w:val="21"/>
              </w:numPr>
              <w:rPr>
                <w:rFonts w:asciiTheme="minorHAnsi" w:hAnsiTheme="minorHAnsi"/>
                <w:b/>
                <w:sz w:val="20"/>
                <w:szCs w:val="20"/>
              </w:rPr>
            </w:pPr>
            <w:r w:rsidRPr="00DF1ECC">
              <w:rPr>
                <w:rFonts w:asciiTheme="minorHAnsi" w:hAnsiTheme="minorHAnsi"/>
                <w:b/>
                <w:sz w:val="20"/>
                <w:szCs w:val="20"/>
              </w:rPr>
              <w:t>Outcomes for identified groups of pupils reflect diminishing differences when compared with all other pupils nationally</w:t>
            </w:r>
          </w:p>
          <w:p w:rsidR="007C0DEF" w:rsidRPr="00DF1ECC" w:rsidRDefault="007C0DEF" w:rsidP="007C0DEF">
            <w:pPr>
              <w:pStyle w:val="ListParagraph"/>
              <w:numPr>
                <w:ilvl w:val="0"/>
                <w:numId w:val="21"/>
              </w:numPr>
              <w:rPr>
                <w:rFonts w:asciiTheme="minorHAnsi" w:hAnsiTheme="minorHAnsi"/>
                <w:b/>
                <w:sz w:val="20"/>
                <w:szCs w:val="20"/>
              </w:rPr>
            </w:pPr>
            <w:r w:rsidRPr="00DF1ECC">
              <w:rPr>
                <w:rFonts w:asciiTheme="minorHAnsi" w:hAnsiTheme="minorHAnsi"/>
                <w:b/>
                <w:sz w:val="20"/>
                <w:szCs w:val="20"/>
              </w:rPr>
              <w:t>Progress and attainment of least able pupils improves so that fewer children are working towards the expected standard in reading, writing and mathematics.</w:t>
            </w:r>
          </w:p>
        </w:tc>
      </w:tr>
    </w:tbl>
    <w:p w:rsidR="00007C57" w:rsidRPr="00007C57" w:rsidRDefault="00007C57" w:rsidP="00C861D8">
      <w:pPr>
        <w:rPr>
          <w:b/>
        </w:rPr>
      </w:pPr>
    </w:p>
    <w:sectPr w:rsidR="00007C57" w:rsidRPr="00007C57" w:rsidSect="00007C57">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1FF" w:rsidRDefault="003831FF" w:rsidP="00EC314E">
      <w:pPr>
        <w:spacing w:after="0" w:line="240" w:lineRule="auto"/>
      </w:pPr>
      <w:r>
        <w:separator/>
      </w:r>
    </w:p>
  </w:endnote>
  <w:endnote w:type="continuationSeparator" w:id="0">
    <w:p w:rsidR="003831FF" w:rsidRDefault="003831FF" w:rsidP="00EC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4E" w:rsidRDefault="00EC3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4E" w:rsidRDefault="00EC31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4E" w:rsidRDefault="00EC3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1FF" w:rsidRDefault="003831FF" w:rsidP="00EC314E">
      <w:pPr>
        <w:spacing w:after="0" w:line="240" w:lineRule="auto"/>
      </w:pPr>
      <w:r>
        <w:separator/>
      </w:r>
    </w:p>
  </w:footnote>
  <w:footnote w:type="continuationSeparator" w:id="0">
    <w:p w:rsidR="003831FF" w:rsidRDefault="003831FF" w:rsidP="00EC3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4E" w:rsidRDefault="00EC3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4E" w:rsidRDefault="00EC31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4E" w:rsidRDefault="00EC3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98D"/>
    <w:multiLevelType w:val="hybridMultilevel"/>
    <w:tmpl w:val="459602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270227"/>
    <w:multiLevelType w:val="hybridMultilevel"/>
    <w:tmpl w:val="2C2E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333F6"/>
    <w:multiLevelType w:val="hybridMultilevel"/>
    <w:tmpl w:val="E766B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C5CB3"/>
    <w:multiLevelType w:val="hybridMultilevel"/>
    <w:tmpl w:val="07AA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92979"/>
    <w:multiLevelType w:val="hybridMultilevel"/>
    <w:tmpl w:val="BFDE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B0355"/>
    <w:multiLevelType w:val="hybridMultilevel"/>
    <w:tmpl w:val="8F10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D50C5"/>
    <w:multiLevelType w:val="hybridMultilevel"/>
    <w:tmpl w:val="9E0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827CA"/>
    <w:multiLevelType w:val="hybridMultilevel"/>
    <w:tmpl w:val="CD68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C002C"/>
    <w:multiLevelType w:val="hybridMultilevel"/>
    <w:tmpl w:val="690C92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76AFA"/>
    <w:multiLevelType w:val="hybridMultilevel"/>
    <w:tmpl w:val="AB8C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A3105"/>
    <w:multiLevelType w:val="hybridMultilevel"/>
    <w:tmpl w:val="299C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31E09"/>
    <w:multiLevelType w:val="hybridMultilevel"/>
    <w:tmpl w:val="C804ECA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ED207D"/>
    <w:multiLevelType w:val="hybridMultilevel"/>
    <w:tmpl w:val="32AA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05CA6"/>
    <w:multiLevelType w:val="hybridMultilevel"/>
    <w:tmpl w:val="B454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425E4"/>
    <w:multiLevelType w:val="hybridMultilevel"/>
    <w:tmpl w:val="CB4A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75AE4"/>
    <w:multiLevelType w:val="hybridMultilevel"/>
    <w:tmpl w:val="DD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4E4C70"/>
    <w:multiLevelType w:val="hybridMultilevel"/>
    <w:tmpl w:val="494A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C13D85"/>
    <w:multiLevelType w:val="hybridMultilevel"/>
    <w:tmpl w:val="CF06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65876"/>
    <w:multiLevelType w:val="hybridMultilevel"/>
    <w:tmpl w:val="ECCA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C2AB9"/>
    <w:multiLevelType w:val="hybridMultilevel"/>
    <w:tmpl w:val="7EE8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D3A71"/>
    <w:multiLevelType w:val="hybridMultilevel"/>
    <w:tmpl w:val="61BA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415C03"/>
    <w:multiLevelType w:val="hybridMultilevel"/>
    <w:tmpl w:val="71A6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3"/>
  </w:num>
  <w:num w:numId="4">
    <w:abstractNumId w:val="9"/>
  </w:num>
  <w:num w:numId="5">
    <w:abstractNumId w:val="6"/>
  </w:num>
  <w:num w:numId="6">
    <w:abstractNumId w:val="16"/>
  </w:num>
  <w:num w:numId="7">
    <w:abstractNumId w:val="7"/>
  </w:num>
  <w:num w:numId="8">
    <w:abstractNumId w:val="14"/>
  </w:num>
  <w:num w:numId="9">
    <w:abstractNumId w:val="21"/>
  </w:num>
  <w:num w:numId="10">
    <w:abstractNumId w:val="3"/>
  </w:num>
  <w:num w:numId="11">
    <w:abstractNumId w:val="15"/>
  </w:num>
  <w:num w:numId="12">
    <w:abstractNumId w:val="12"/>
  </w:num>
  <w:num w:numId="13">
    <w:abstractNumId w:val="20"/>
  </w:num>
  <w:num w:numId="14">
    <w:abstractNumId w:val="11"/>
  </w:num>
  <w:num w:numId="15">
    <w:abstractNumId w:val="1"/>
  </w:num>
  <w:num w:numId="16">
    <w:abstractNumId w:val="0"/>
  </w:num>
  <w:num w:numId="17">
    <w:abstractNumId w:val="8"/>
  </w:num>
  <w:num w:numId="18">
    <w:abstractNumId w:val="5"/>
  </w:num>
  <w:num w:numId="19">
    <w:abstractNumId w:val="18"/>
  </w:num>
  <w:num w:numId="20">
    <w:abstractNumId w:val="2"/>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57"/>
    <w:rsid w:val="0000340A"/>
    <w:rsid w:val="00007C57"/>
    <w:rsid w:val="000132D6"/>
    <w:rsid w:val="00046613"/>
    <w:rsid w:val="000618E7"/>
    <w:rsid w:val="0008688B"/>
    <w:rsid w:val="000A5D89"/>
    <w:rsid w:val="000C0898"/>
    <w:rsid w:val="000D4C9F"/>
    <w:rsid w:val="000D7C8B"/>
    <w:rsid w:val="000E7391"/>
    <w:rsid w:val="000E7FB5"/>
    <w:rsid w:val="00115F06"/>
    <w:rsid w:val="001205D6"/>
    <w:rsid w:val="0014151F"/>
    <w:rsid w:val="0018153E"/>
    <w:rsid w:val="00196389"/>
    <w:rsid w:val="001B37FA"/>
    <w:rsid w:val="001B4203"/>
    <w:rsid w:val="001B49D0"/>
    <w:rsid w:val="001D2DAE"/>
    <w:rsid w:val="001F2F21"/>
    <w:rsid w:val="00214B39"/>
    <w:rsid w:val="00230165"/>
    <w:rsid w:val="00246C93"/>
    <w:rsid w:val="00267800"/>
    <w:rsid w:val="00273B34"/>
    <w:rsid w:val="002B6466"/>
    <w:rsid w:val="003007EA"/>
    <w:rsid w:val="00331198"/>
    <w:rsid w:val="00350995"/>
    <w:rsid w:val="003530DE"/>
    <w:rsid w:val="00357931"/>
    <w:rsid w:val="003831FF"/>
    <w:rsid w:val="00391793"/>
    <w:rsid w:val="003A6C60"/>
    <w:rsid w:val="003B20CB"/>
    <w:rsid w:val="003D065F"/>
    <w:rsid w:val="004A2916"/>
    <w:rsid w:val="004A31C0"/>
    <w:rsid w:val="004C2340"/>
    <w:rsid w:val="004C5103"/>
    <w:rsid w:val="004D0FCF"/>
    <w:rsid w:val="004E7738"/>
    <w:rsid w:val="00512F8B"/>
    <w:rsid w:val="00513EF6"/>
    <w:rsid w:val="005306C8"/>
    <w:rsid w:val="00532E41"/>
    <w:rsid w:val="00533C11"/>
    <w:rsid w:val="005719BC"/>
    <w:rsid w:val="005819ED"/>
    <w:rsid w:val="00587278"/>
    <w:rsid w:val="005B6FB6"/>
    <w:rsid w:val="0060140D"/>
    <w:rsid w:val="00616F03"/>
    <w:rsid w:val="00617AB2"/>
    <w:rsid w:val="00637F7A"/>
    <w:rsid w:val="006736C8"/>
    <w:rsid w:val="006A464E"/>
    <w:rsid w:val="006C2816"/>
    <w:rsid w:val="006E487B"/>
    <w:rsid w:val="006E69A2"/>
    <w:rsid w:val="00712016"/>
    <w:rsid w:val="00714673"/>
    <w:rsid w:val="00723179"/>
    <w:rsid w:val="00741797"/>
    <w:rsid w:val="00752207"/>
    <w:rsid w:val="0075402A"/>
    <w:rsid w:val="0076493C"/>
    <w:rsid w:val="007A1288"/>
    <w:rsid w:val="007B4692"/>
    <w:rsid w:val="007C0DEF"/>
    <w:rsid w:val="00805C59"/>
    <w:rsid w:val="0082384F"/>
    <w:rsid w:val="00846D63"/>
    <w:rsid w:val="00864EA2"/>
    <w:rsid w:val="008A5C71"/>
    <w:rsid w:val="008B2840"/>
    <w:rsid w:val="008C58D4"/>
    <w:rsid w:val="008E69A3"/>
    <w:rsid w:val="0090661D"/>
    <w:rsid w:val="00914108"/>
    <w:rsid w:val="0096010B"/>
    <w:rsid w:val="009C7DC8"/>
    <w:rsid w:val="009E5732"/>
    <w:rsid w:val="009F55DD"/>
    <w:rsid w:val="00A20D1F"/>
    <w:rsid w:val="00A530F4"/>
    <w:rsid w:val="00A6480E"/>
    <w:rsid w:val="00A65A86"/>
    <w:rsid w:val="00AA609D"/>
    <w:rsid w:val="00AC2807"/>
    <w:rsid w:val="00AF1532"/>
    <w:rsid w:val="00B0080E"/>
    <w:rsid w:val="00B10B5C"/>
    <w:rsid w:val="00B470CA"/>
    <w:rsid w:val="00B505D1"/>
    <w:rsid w:val="00B75323"/>
    <w:rsid w:val="00B775ED"/>
    <w:rsid w:val="00BA0250"/>
    <w:rsid w:val="00BB0ED1"/>
    <w:rsid w:val="00C517FF"/>
    <w:rsid w:val="00C6443A"/>
    <w:rsid w:val="00C66217"/>
    <w:rsid w:val="00C861D8"/>
    <w:rsid w:val="00CA4CE0"/>
    <w:rsid w:val="00CC093F"/>
    <w:rsid w:val="00CC355D"/>
    <w:rsid w:val="00CC479D"/>
    <w:rsid w:val="00CC5108"/>
    <w:rsid w:val="00CD2185"/>
    <w:rsid w:val="00D30307"/>
    <w:rsid w:val="00D6097F"/>
    <w:rsid w:val="00D8128B"/>
    <w:rsid w:val="00D82F9B"/>
    <w:rsid w:val="00D947BC"/>
    <w:rsid w:val="00DF1ECC"/>
    <w:rsid w:val="00E122A2"/>
    <w:rsid w:val="00E31EAB"/>
    <w:rsid w:val="00E445DD"/>
    <w:rsid w:val="00E5545F"/>
    <w:rsid w:val="00E77C09"/>
    <w:rsid w:val="00E94FEF"/>
    <w:rsid w:val="00E95BBB"/>
    <w:rsid w:val="00EA5ECB"/>
    <w:rsid w:val="00EC314E"/>
    <w:rsid w:val="00ED698B"/>
    <w:rsid w:val="00EE3FA0"/>
    <w:rsid w:val="00EE6E57"/>
    <w:rsid w:val="00F14A0B"/>
    <w:rsid w:val="00F3702C"/>
    <w:rsid w:val="00F409C8"/>
    <w:rsid w:val="00F53921"/>
    <w:rsid w:val="00F8284A"/>
    <w:rsid w:val="00FD0595"/>
    <w:rsid w:val="00FE1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5BC2A1-07F3-4ACC-93F7-C301EA09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3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14E"/>
  </w:style>
  <w:style w:type="paragraph" w:styleId="Footer">
    <w:name w:val="footer"/>
    <w:basedOn w:val="Normal"/>
    <w:link w:val="FooterChar"/>
    <w:uiPriority w:val="99"/>
    <w:unhideWhenUsed/>
    <w:rsid w:val="00EC3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14E"/>
  </w:style>
  <w:style w:type="paragraph" w:styleId="BalloonText">
    <w:name w:val="Balloon Text"/>
    <w:basedOn w:val="Normal"/>
    <w:link w:val="BalloonTextChar"/>
    <w:uiPriority w:val="99"/>
    <w:semiHidden/>
    <w:unhideWhenUsed/>
    <w:rsid w:val="007A1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288"/>
    <w:rPr>
      <w:rFonts w:ascii="Segoe UI" w:hAnsi="Segoe UI" w:cs="Segoe UI"/>
      <w:sz w:val="18"/>
      <w:szCs w:val="18"/>
    </w:rPr>
  </w:style>
  <w:style w:type="paragraph" w:styleId="ListParagraph">
    <w:name w:val="List Paragraph"/>
    <w:basedOn w:val="Normal"/>
    <w:uiPriority w:val="34"/>
    <w:qFormat/>
    <w:rsid w:val="004D0FC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2B03-DF87-4CCC-BF31-6B490F1A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Barnes</dc:creator>
  <cp:keywords/>
  <dc:description/>
  <cp:lastModifiedBy>Susan Barnes</cp:lastModifiedBy>
  <cp:revision>2</cp:revision>
  <cp:lastPrinted>2018-09-21T09:00:00Z</cp:lastPrinted>
  <dcterms:created xsi:type="dcterms:W3CDTF">2018-09-21T09:00:00Z</dcterms:created>
  <dcterms:modified xsi:type="dcterms:W3CDTF">2018-09-21T09:00:00Z</dcterms:modified>
</cp:coreProperties>
</file>