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61D" w:rsidRDefault="00007C57" w:rsidP="00007C57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39750" cy="443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710" cy="4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FCF" w:rsidRDefault="002B6466" w:rsidP="004D0FCF">
      <w:pPr>
        <w:jc w:val="center"/>
        <w:rPr>
          <w:b/>
        </w:rPr>
      </w:pPr>
      <w:r>
        <w:rPr>
          <w:b/>
        </w:rPr>
        <w:t>SUMMARY OF SCHOOL PLAN 2017-2018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245"/>
        <w:gridCol w:w="7880"/>
      </w:tblGrid>
      <w:tr w:rsidR="00007C57" w:rsidTr="00723179">
        <w:tc>
          <w:tcPr>
            <w:tcW w:w="2263" w:type="dxa"/>
          </w:tcPr>
          <w:p w:rsidR="00007C57" w:rsidRDefault="00007C57" w:rsidP="00007C57">
            <w:pPr>
              <w:jc w:val="center"/>
              <w:rPr>
                <w:b/>
              </w:rPr>
            </w:pPr>
            <w:r>
              <w:rPr>
                <w:b/>
              </w:rPr>
              <w:t>GOAL TITLE</w:t>
            </w:r>
          </w:p>
        </w:tc>
        <w:tc>
          <w:tcPr>
            <w:tcW w:w="5245" w:type="dxa"/>
          </w:tcPr>
          <w:p w:rsidR="00007C57" w:rsidRDefault="006E69A2" w:rsidP="00007C57">
            <w:pPr>
              <w:jc w:val="center"/>
              <w:rPr>
                <w:b/>
              </w:rPr>
            </w:pPr>
            <w:r>
              <w:rPr>
                <w:b/>
              </w:rPr>
              <w:t>TARGET</w:t>
            </w:r>
            <w:r w:rsidR="00D30307">
              <w:rPr>
                <w:b/>
              </w:rPr>
              <w:t>S</w:t>
            </w:r>
            <w:r w:rsidR="002B6466">
              <w:rPr>
                <w:b/>
              </w:rPr>
              <w:t xml:space="preserve"> 2017-2018</w:t>
            </w:r>
          </w:p>
        </w:tc>
        <w:tc>
          <w:tcPr>
            <w:tcW w:w="7880" w:type="dxa"/>
          </w:tcPr>
          <w:p w:rsidR="00007C57" w:rsidRDefault="002B6466" w:rsidP="00007C57">
            <w:pPr>
              <w:jc w:val="center"/>
              <w:rPr>
                <w:b/>
              </w:rPr>
            </w:pPr>
            <w:r>
              <w:rPr>
                <w:b/>
              </w:rPr>
              <w:t>SUCCESS CRITERIA 2017-2018</w:t>
            </w:r>
          </w:p>
        </w:tc>
      </w:tr>
      <w:tr w:rsidR="00C6443A" w:rsidTr="00723179">
        <w:tc>
          <w:tcPr>
            <w:tcW w:w="2263" w:type="dxa"/>
            <w:vMerge w:val="restart"/>
            <w:shd w:val="clear" w:color="auto" w:fill="ED6861"/>
          </w:tcPr>
          <w:p w:rsidR="00C6443A" w:rsidRDefault="00C6443A" w:rsidP="00007C57">
            <w:pPr>
              <w:jc w:val="center"/>
              <w:rPr>
                <w:b/>
              </w:rPr>
            </w:pPr>
            <w:r>
              <w:rPr>
                <w:b/>
              </w:rPr>
              <w:t>Goal A</w:t>
            </w:r>
          </w:p>
          <w:p w:rsidR="00C6443A" w:rsidRDefault="00C6443A" w:rsidP="00007C57">
            <w:pPr>
              <w:jc w:val="center"/>
              <w:rPr>
                <w:b/>
              </w:rPr>
            </w:pPr>
            <w:r>
              <w:rPr>
                <w:b/>
              </w:rPr>
              <w:t>LEADERSHIP &amp; MANAGEMENT</w:t>
            </w:r>
          </w:p>
        </w:tc>
        <w:tc>
          <w:tcPr>
            <w:tcW w:w="5245" w:type="dxa"/>
          </w:tcPr>
          <w:p w:rsidR="00C6443A" w:rsidRDefault="00C6443A" w:rsidP="001B37FA">
            <w:pPr>
              <w:rPr>
                <w:b/>
              </w:rPr>
            </w:pPr>
            <w:r>
              <w:rPr>
                <w:b/>
              </w:rPr>
              <w:t>To achieve an Ofsted judgement of outstanding in all areas.</w:t>
            </w:r>
          </w:p>
        </w:tc>
        <w:tc>
          <w:tcPr>
            <w:tcW w:w="7880" w:type="dxa"/>
          </w:tcPr>
          <w:p w:rsidR="00C6443A" w:rsidRPr="005B6FB6" w:rsidRDefault="00C6443A" w:rsidP="005B6FB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5B6FB6">
              <w:rPr>
                <w:rFonts w:asciiTheme="minorHAnsi" w:hAnsiTheme="minorHAnsi"/>
                <w:b/>
                <w:sz w:val="22"/>
                <w:szCs w:val="22"/>
              </w:rPr>
              <w:t>The school meets the criteria to be judged as outstanding in all areas during the next Ofsted inspection.</w:t>
            </w:r>
          </w:p>
          <w:p w:rsidR="00C6443A" w:rsidRPr="005B6FB6" w:rsidRDefault="00C6443A" w:rsidP="005B6FB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5B6FB6">
              <w:rPr>
                <w:rFonts w:asciiTheme="minorHAnsi" w:hAnsiTheme="minorHAnsi"/>
                <w:b/>
                <w:sz w:val="22"/>
                <w:szCs w:val="22"/>
              </w:rPr>
              <w:t>The reputation of the school is further enhanced and parental preference reflects the planned increase to the Published Admission Number.</w:t>
            </w:r>
          </w:p>
        </w:tc>
      </w:tr>
      <w:tr w:rsidR="00C6443A" w:rsidTr="00723179">
        <w:tc>
          <w:tcPr>
            <w:tcW w:w="2263" w:type="dxa"/>
            <w:vMerge/>
            <w:shd w:val="clear" w:color="auto" w:fill="ED6861"/>
          </w:tcPr>
          <w:p w:rsidR="00C6443A" w:rsidRDefault="00C6443A" w:rsidP="00007C57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C6443A" w:rsidRDefault="00C6443A" w:rsidP="003D065F">
            <w:pPr>
              <w:rPr>
                <w:b/>
              </w:rPr>
            </w:pPr>
            <w:r>
              <w:rPr>
                <w:b/>
              </w:rPr>
              <w:t>To work in partnership with Bucks County Council to undertake building work to expand and have the capacity to become a four form entry infant school</w:t>
            </w:r>
            <w:r w:rsidR="007B4692">
              <w:rPr>
                <w:b/>
              </w:rPr>
              <w:t xml:space="preserve"> by September 2018</w:t>
            </w:r>
          </w:p>
        </w:tc>
        <w:tc>
          <w:tcPr>
            <w:tcW w:w="7880" w:type="dxa"/>
          </w:tcPr>
          <w:p w:rsidR="00C6443A" w:rsidRPr="005B6FB6" w:rsidRDefault="00C6443A" w:rsidP="005B6FB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5B6FB6">
              <w:rPr>
                <w:rFonts w:asciiTheme="minorHAnsi" w:hAnsiTheme="minorHAnsi"/>
                <w:b/>
                <w:sz w:val="22"/>
                <w:szCs w:val="22"/>
              </w:rPr>
              <w:t>A carefully managed building project provides the necessary space to accommodate four classes within each year group.</w:t>
            </w:r>
          </w:p>
          <w:p w:rsidR="00C6443A" w:rsidRPr="005B6FB6" w:rsidRDefault="00C6443A" w:rsidP="005B6FB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5B6FB6">
              <w:rPr>
                <w:rFonts w:asciiTheme="minorHAnsi" w:hAnsiTheme="minorHAnsi"/>
                <w:b/>
                <w:sz w:val="22"/>
                <w:szCs w:val="22"/>
              </w:rPr>
              <w:t>The school is fully prepared to accept 120 children into Foundation Stage by September 2018.</w:t>
            </w:r>
          </w:p>
        </w:tc>
      </w:tr>
      <w:tr w:rsidR="00C6443A" w:rsidTr="00723179">
        <w:tc>
          <w:tcPr>
            <w:tcW w:w="2263" w:type="dxa"/>
            <w:vMerge/>
            <w:shd w:val="clear" w:color="auto" w:fill="ED6861"/>
          </w:tcPr>
          <w:p w:rsidR="00C6443A" w:rsidRDefault="00C6443A" w:rsidP="00007C57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C6443A" w:rsidRDefault="00C6443A" w:rsidP="00D947BC">
            <w:pPr>
              <w:rPr>
                <w:b/>
              </w:rPr>
            </w:pPr>
            <w:r>
              <w:rPr>
                <w:b/>
              </w:rPr>
              <w:t>By April 2018 to generate £50K to cover the shortfall in the school’s budget share for the 2017-2018 financial year</w:t>
            </w:r>
          </w:p>
        </w:tc>
        <w:tc>
          <w:tcPr>
            <w:tcW w:w="7880" w:type="dxa"/>
          </w:tcPr>
          <w:p w:rsidR="00C6443A" w:rsidRPr="005B6FB6" w:rsidRDefault="00C6443A" w:rsidP="005B6FB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5B6FB6">
              <w:rPr>
                <w:rFonts w:asciiTheme="minorHAnsi" w:hAnsiTheme="minorHAnsi"/>
                <w:b/>
                <w:sz w:val="22"/>
                <w:szCs w:val="22"/>
              </w:rPr>
              <w:t>A trust fund, set up by the school, encourages stakeholders and local businesses to donate to maintain the quality of education provided by JHSW.</w:t>
            </w:r>
          </w:p>
          <w:p w:rsidR="00C6443A" w:rsidRPr="005B6FB6" w:rsidRDefault="00C6443A" w:rsidP="005B6FB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5B6FB6">
              <w:rPr>
                <w:rFonts w:asciiTheme="minorHAnsi" w:hAnsiTheme="minorHAnsi"/>
                <w:b/>
                <w:sz w:val="22"/>
                <w:szCs w:val="22"/>
              </w:rPr>
              <w:t>The school budget is enhanced by regular financial contributions following fund raising activities which also include the wider local community.</w:t>
            </w:r>
          </w:p>
          <w:p w:rsidR="00C6443A" w:rsidRPr="005B6FB6" w:rsidRDefault="00C6443A" w:rsidP="005B6FB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5B6FB6">
              <w:rPr>
                <w:rFonts w:asciiTheme="minorHAnsi" w:hAnsiTheme="minorHAnsi"/>
                <w:b/>
                <w:sz w:val="22"/>
                <w:szCs w:val="22"/>
              </w:rPr>
              <w:t>The school has successfully accessed additional funding streams from external sources to enhance educational facilities and opportunities.</w:t>
            </w:r>
          </w:p>
        </w:tc>
      </w:tr>
      <w:tr w:rsidR="00C6443A" w:rsidTr="00723179">
        <w:tc>
          <w:tcPr>
            <w:tcW w:w="2263" w:type="dxa"/>
            <w:vMerge/>
            <w:shd w:val="clear" w:color="auto" w:fill="ED6861"/>
          </w:tcPr>
          <w:p w:rsidR="00C6443A" w:rsidRDefault="00C6443A" w:rsidP="00007C57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C6443A" w:rsidRPr="000C0898" w:rsidRDefault="00C6443A" w:rsidP="000C0898">
            <w:pPr>
              <w:rPr>
                <w:b/>
              </w:rPr>
            </w:pPr>
            <w:r>
              <w:rPr>
                <w:b/>
              </w:rPr>
              <w:t xml:space="preserve">By July 2018 to collaborate effectively and profitably  with others in order to enhance the </w:t>
            </w:r>
            <w:r w:rsidR="005B6FB6">
              <w:rPr>
                <w:b/>
              </w:rPr>
              <w:t xml:space="preserve">skills, </w:t>
            </w:r>
            <w:r>
              <w:rPr>
                <w:b/>
              </w:rPr>
              <w:t>reputation, resources and future financial security of the JHSW</w:t>
            </w:r>
          </w:p>
        </w:tc>
        <w:tc>
          <w:tcPr>
            <w:tcW w:w="7880" w:type="dxa"/>
          </w:tcPr>
          <w:p w:rsidR="00C6443A" w:rsidRPr="005B6FB6" w:rsidRDefault="00C6443A" w:rsidP="005B6FB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5B6FB6">
              <w:rPr>
                <w:rFonts w:asciiTheme="minorHAnsi" w:hAnsiTheme="minorHAnsi"/>
                <w:b/>
                <w:sz w:val="22"/>
                <w:szCs w:val="22"/>
              </w:rPr>
              <w:t>The Leadership Team continues to explore the benefits of closer working relationships with others, continuing to consider the MAT agenda in the process.</w:t>
            </w:r>
          </w:p>
          <w:p w:rsidR="00C6443A" w:rsidRDefault="00C6443A" w:rsidP="005B6FB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5B6FB6">
              <w:rPr>
                <w:rFonts w:asciiTheme="minorHAnsi" w:hAnsiTheme="minorHAnsi"/>
                <w:b/>
                <w:sz w:val="22"/>
                <w:szCs w:val="22"/>
              </w:rPr>
              <w:t>The school continues to provide training and development opportunities for other professionals</w:t>
            </w:r>
            <w:r w:rsidR="005B6FB6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5B6FB6" w:rsidRPr="005B6FB6" w:rsidRDefault="007B4692" w:rsidP="007B469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Collaboration</w:t>
            </w:r>
            <w:r w:rsidR="005B6FB6">
              <w:rPr>
                <w:rFonts w:asciiTheme="minorHAnsi" w:hAnsiTheme="minorHAnsi"/>
                <w:b/>
                <w:sz w:val="22"/>
                <w:szCs w:val="22"/>
              </w:rPr>
              <w:t xml:space="preserve"> arrangements betw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een the John Colet Liaison Group</w:t>
            </w:r>
            <w:r w:rsidR="005B6FB6">
              <w:rPr>
                <w:rFonts w:asciiTheme="minorHAnsi" w:hAnsiTheme="minorHAnsi"/>
                <w:b/>
                <w:sz w:val="22"/>
                <w:szCs w:val="22"/>
              </w:rPr>
              <w:t xml:space="preserve"> are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further developed</w:t>
            </w:r>
            <w:r w:rsidR="005B6FB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and formalised </w:t>
            </w:r>
            <w:r w:rsidR="005B6FB6">
              <w:rPr>
                <w:rFonts w:asciiTheme="minorHAnsi" w:hAnsiTheme="minorHAnsi"/>
                <w:b/>
                <w:sz w:val="22"/>
                <w:szCs w:val="22"/>
              </w:rPr>
              <w:t xml:space="preserve">to inform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future decision-making about partnership working.</w:t>
            </w:r>
          </w:p>
        </w:tc>
      </w:tr>
      <w:tr w:rsidR="00C6443A" w:rsidTr="00723179">
        <w:tc>
          <w:tcPr>
            <w:tcW w:w="2263" w:type="dxa"/>
            <w:vMerge/>
            <w:shd w:val="clear" w:color="auto" w:fill="ED6861"/>
          </w:tcPr>
          <w:p w:rsidR="00C6443A" w:rsidRDefault="00C6443A" w:rsidP="00007C57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C6443A" w:rsidRDefault="00C6443A" w:rsidP="00D947BC">
            <w:pPr>
              <w:rPr>
                <w:b/>
              </w:rPr>
            </w:pPr>
            <w:r>
              <w:rPr>
                <w:b/>
              </w:rPr>
              <w:t>By July 2018  to fully explore the possibility of extending our Nursery offer from 15 to 30 hours of provision for individuals each week</w:t>
            </w:r>
          </w:p>
        </w:tc>
        <w:tc>
          <w:tcPr>
            <w:tcW w:w="7880" w:type="dxa"/>
          </w:tcPr>
          <w:p w:rsidR="00C6443A" w:rsidRDefault="00C6443A" w:rsidP="005B6FB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5B6FB6">
              <w:rPr>
                <w:rFonts w:asciiTheme="minorHAnsi" w:hAnsiTheme="minorHAnsi"/>
                <w:b/>
                <w:sz w:val="22"/>
                <w:szCs w:val="22"/>
              </w:rPr>
              <w:t xml:space="preserve">The Leadership Team makes an informed decision </w:t>
            </w:r>
            <w:r w:rsidR="005B6FB6" w:rsidRPr="005B6FB6">
              <w:rPr>
                <w:rFonts w:asciiTheme="minorHAnsi" w:hAnsiTheme="minorHAnsi"/>
                <w:b/>
                <w:sz w:val="22"/>
                <w:szCs w:val="22"/>
              </w:rPr>
              <w:t>about when/if to move forward with extending the current 15 hour offer for the Early Years class.</w:t>
            </w:r>
          </w:p>
          <w:p w:rsidR="005B6FB6" w:rsidRPr="005B6FB6" w:rsidRDefault="005B6FB6" w:rsidP="005B6FB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The key factors affecting the school’s ability to offer 30 hours of provision for Early Years children are considered and costed.</w:t>
            </w:r>
          </w:p>
        </w:tc>
      </w:tr>
      <w:tr w:rsidR="000618E7" w:rsidTr="00273B34">
        <w:trPr>
          <w:trHeight w:val="899"/>
        </w:trPr>
        <w:tc>
          <w:tcPr>
            <w:tcW w:w="2263" w:type="dxa"/>
            <w:vMerge w:val="restart"/>
            <w:shd w:val="clear" w:color="auto" w:fill="FFD966" w:themeFill="accent4" w:themeFillTint="99"/>
          </w:tcPr>
          <w:p w:rsidR="000618E7" w:rsidRDefault="000618E7" w:rsidP="00007C5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Goal B</w:t>
            </w:r>
          </w:p>
          <w:p w:rsidR="000618E7" w:rsidRDefault="000618E7" w:rsidP="00007C57">
            <w:pPr>
              <w:jc w:val="center"/>
              <w:rPr>
                <w:b/>
              </w:rPr>
            </w:pPr>
            <w:r>
              <w:rPr>
                <w:b/>
              </w:rPr>
              <w:t>TEACHING, LEARNING &amp; ASSESSMENT</w:t>
            </w:r>
          </w:p>
          <w:p w:rsidR="000618E7" w:rsidRDefault="000618E7" w:rsidP="00007C57">
            <w:pPr>
              <w:jc w:val="center"/>
              <w:rPr>
                <w:b/>
              </w:rPr>
            </w:pPr>
          </w:p>
          <w:p w:rsidR="000618E7" w:rsidRDefault="000618E7" w:rsidP="00007C57">
            <w:pPr>
              <w:jc w:val="center"/>
              <w:rPr>
                <w:b/>
              </w:rPr>
            </w:pPr>
          </w:p>
          <w:p w:rsidR="000618E7" w:rsidRDefault="000618E7" w:rsidP="00007C57">
            <w:pPr>
              <w:jc w:val="center"/>
              <w:rPr>
                <w:b/>
              </w:rPr>
            </w:pPr>
          </w:p>
          <w:p w:rsidR="000618E7" w:rsidRDefault="000618E7" w:rsidP="00007C57">
            <w:pPr>
              <w:jc w:val="center"/>
              <w:rPr>
                <w:b/>
              </w:rPr>
            </w:pPr>
          </w:p>
          <w:p w:rsidR="000618E7" w:rsidRDefault="000618E7" w:rsidP="00007C57">
            <w:pPr>
              <w:jc w:val="center"/>
              <w:rPr>
                <w:b/>
              </w:rPr>
            </w:pPr>
          </w:p>
          <w:p w:rsidR="000618E7" w:rsidRDefault="000618E7" w:rsidP="00007C57">
            <w:pPr>
              <w:jc w:val="center"/>
              <w:rPr>
                <w:b/>
              </w:rPr>
            </w:pPr>
          </w:p>
          <w:p w:rsidR="000618E7" w:rsidRDefault="000618E7" w:rsidP="00007C57">
            <w:pPr>
              <w:jc w:val="center"/>
              <w:rPr>
                <w:b/>
              </w:rPr>
            </w:pPr>
          </w:p>
          <w:p w:rsidR="000618E7" w:rsidRDefault="000618E7" w:rsidP="00007C57">
            <w:pPr>
              <w:jc w:val="center"/>
              <w:rPr>
                <w:b/>
              </w:rPr>
            </w:pPr>
          </w:p>
          <w:p w:rsidR="000618E7" w:rsidRDefault="000618E7" w:rsidP="00007C57">
            <w:pPr>
              <w:jc w:val="center"/>
              <w:rPr>
                <w:b/>
              </w:rPr>
            </w:pPr>
          </w:p>
          <w:p w:rsidR="000618E7" w:rsidRDefault="000618E7" w:rsidP="00007C57">
            <w:pPr>
              <w:jc w:val="center"/>
              <w:rPr>
                <w:b/>
              </w:rPr>
            </w:pPr>
          </w:p>
          <w:p w:rsidR="000618E7" w:rsidRDefault="000618E7" w:rsidP="00007C57">
            <w:pPr>
              <w:jc w:val="center"/>
              <w:rPr>
                <w:b/>
              </w:rPr>
            </w:pPr>
          </w:p>
          <w:p w:rsidR="000618E7" w:rsidRDefault="000618E7" w:rsidP="00007C57">
            <w:pPr>
              <w:jc w:val="center"/>
              <w:rPr>
                <w:b/>
              </w:rPr>
            </w:pPr>
          </w:p>
          <w:p w:rsidR="000618E7" w:rsidRDefault="000618E7" w:rsidP="00007C57">
            <w:pPr>
              <w:jc w:val="center"/>
              <w:rPr>
                <w:b/>
              </w:rPr>
            </w:pPr>
          </w:p>
          <w:p w:rsidR="000618E7" w:rsidRDefault="000618E7" w:rsidP="00273B34">
            <w:pPr>
              <w:rPr>
                <w:b/>
              </w:rPr>
            </w:pPr>
          </w:p>
        </w:tc>
        <w:tc>
          <w:tcPr>
            <w:tcW w:w="5245" w:type="dxa"/>
          </w:tcPr>
          <w:p w:rsidR="000618E7" w:rsidRDefault="000618E7" w:rsidP="004D0FCF">
            <w:pPr>
              <w:rPr>
                <w:b/>
              </w:rPr>
            </w:pPr>
            <w:r>
              <w:rPr>
                <w:b/>
              </w:rPr>
              <w:t xml:space="preserve">By July 2018 to increase the use of ‘modelling’ to improve the quality of teaching and learning in writing </w:t>
            </w:r>
          </w:p>
        </w:tc>
        <w:tc>
          <w:tcPr>
            <w:tcW w:w="7880" w:type="dxa"/>
          </w:tcPr>
          <w:p w:rsidR="000618E7" w:rsidRDefault="000618E7" w:rsidP="0071201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712016">
              <w:rPr>
                <w:rFonts w:asciiTheme="minorHAnsi" w:hAnsiTheme="minorHAnsi"/>
                <w:b/>
                <w:sz w:val="22"/>
                <w:szCs w:val="22"/>
              </w:rPr>
              <w:t xml:space="preserve">Lesson observation evidence suggests that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adults are </w:t>
            </w:r>
            <w:r w:rsidRPr="00712016">
              <w:rPr>
                <w:rFonts w:asciiTheme="minorHAnsi" w:hAnsiTheme="minorHAnsi"/>
                <w:b/>
                <w:sz w:val="22"/>
                <w:szCs w:val="22"/>
              </w:rPr>
              <w:t>modelling writing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directly in front of the children and that this</w:t>
            </w:r>
            <w:r w:rsidRPr="00712016">
              <w:rPr>
                <w:rFonts w:asciiTheme="minorHAnsi" w:hAnsiTheme="minorHAnsi"/>
                <w:b/>
                <w:sz w:val="22"/>
                <w:szCs w:val="22"/>
              </w:rPr>
              <w:t xml:space="preserve"> is effective in raising standards and guiding children to make progress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0618E7" w:rsidRPr="00712016" w:rsidRDefault="000618E7" w:rsidP="0071201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Adults consistently model how to transfer a plan for writing into well organised, grammatically accurate sentences.</w:t>
            </w:r>
          </w:p>
        </w:tc>
      </w:tr>
      <w:tr w:rsidR="000618E7" w:rsidTr="00723179">
        <w:tc>
          <w:tcPr>
            <w:tcW w:w="2263" w:type="dxa"/>
            <w:vMerge/>
            <w:shd w:val="clear" w:color="auto" w:fill="FFD966" w:themeFill="accent4" w:themeFillTint="99"/>
          </w:tcPr>
          <w:p w:rsidR="000618E7" w:rsidRDefault="000618E7" w:rsidP="00007C57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0618E7" w:rsidRDefault="000618E7" w:rsidP="004D0FCF">
            <w:pPr>
              <w:rPr>
                <w:b/>
              </w:rPr>
            </w:pPr>
            <w:r>
              <w:rPr>
                <w:b/>
              </w:rPr>
              <w:t xml:space="preserve">By July 2018 to ensure consistency of assessments in reading, writing and maths across the Liaison Group of schools </w:t>
            </w:r>
          </w:p>
        </w:tc>
        <w:tc>
          <w:tcPr>
            <w:tcW w:w="7880" w:type="dxa"/>
          </w:tcPr>
          <w:p w:rsidR="000618E7" w:rsidRPr="00637F7A" w:rsidRDefault="000618E7" w:rsidP="00637F7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637F7A">
              <w:rPr>
                <w:rFonts w:asciiTheme="minorHAnsi" w:hAnsiTheme="minorHAnsi"/>
                <w:b/>
                <w:sz w:val="22"/>
                <w:szCs w:val="22"/>
              </w:rPr>
              <w:t>There is a clear and shared collective understanding of what co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nstitutes the expected standard/ age related expectations using nationally and locally agreed exemplification and growing expertise.</w:t>
            </w:r>
          </w:p>
          <w:p w:rsidR="000618E7" w:rsidRDefault="000618E7" w:rsidP="005306C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5306C8">
              <w:rPr>
                <w:rFonts w:asciiTheme="minorHAnsi" w:hAnsiTheme="minorHAnsi"/>
                <w:b/>
                <w:sz w:val="22"/>
                <w:szCs w:val="22"/>
              </w:rPr>
              <w:t>Moderation opportunities reflect a consistency in judgements across the school and across the Li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aison Group, especially with WJS.</w:t>
            </w:r>
          </w:p>
          <w:p w:rsidR="000618E7" w:rsidRPr="005306C8" w:rsidRDefault="000618E7" w:rsidP="005306C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Staff at JHSW are appropriately trained and qualified to moderate writing at county level.</w:t>
            </w:r>
          </w:p>
        </w:tc>
      </w:tr>
      <w:tr w:rsidR="000618E7" w:rsidTr="00973A53">
        <w:trPr>
          <w:trHeight w:val="1880"/>
        </w:trPr>
        <w:tc>
          <w:tcPr>
            <w:tcW w:w="2263" w:type="dxa"/>
            <w:vMerge/>
            <w:shd w:val="clear" w:color="auto" w:fill="FFD966" w:themeFill="accent4" w:themeFillTint="99"/>
          </w:tcPr>
          <w:p w:rsidR="000618E7" w:rsidRDefault="000618E7" w:rsidP="00007C57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0618E7" w:rsidRDefault="000618E7" w:rsidP="00C861D8">
            <w:pPr>
              <w:rPr>
                <w:b/>
              </w:rPr>
            </w:pPr>
            <w:r>
              <w:rPr>
                <w:b/>
              </w:rPr>
              <w:t xml:space="preserve">By July 2018 to ensure learning opportunities within the EYFS and National Curriculum are appropriately differentiated to challenge and meet the needs of the </w:t>
            </w:r>
            <w:r>
              <w:rPr>
                <w:b/>
                <w:u w:val="single"/>
              </w:rPr>
              <w:t>least</w:t>
            </w:r>
            <w:r w:rsidRPr="004C2340">
              <w:rPr>
                <w:b/>
                <w:u w:val="single"/>
              </w:rPr>
              <w:t xml:space="preserve"> able</w:t>
            </w:r>
            <w:r>
              <w:rPr>
                <w:b/>
              </w:rPr>
              <w:t xml:space="preserve"> pupils </w:t>
            </w:r>
          </w:p>
        </w:tc>
        <w:tc>
          <w:tcPr>
            <w:tcW w:w="7880" w:type="dxa"/>
          </w:tcPr>
          <w:p w:rsidR="000618E7" w:rsidRPr="00532E41" w:rsidRDefault="000618E7" w:rsidP="00532E4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532E41">
              <w:rPr>
                <w:rFonts w:asciiTheme="minorHAnsi" w:hAnsiTheme="minorHAnsi"/>
                <w:b/>
                <w:sz w:val="22"/>
                <w:szCs w:val="22"/>
              </w:rPr>
              <w:t>Monitoring and evaluation of teaching &amp; learning,  assessment, planning, work scrutiny, pupil views and subject leader actions reflect clear differentiation in English and Mathematics teaching and learning that allows all pupils to deepen their knowledge, understanding and skills at a challenging level appropriate to their needs</w:t>
            </w:r>
            <w:r w:rsidR="006736C8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0618E7" w:rsidRPr="00532E41" w:rsidRDefault="000618E7" w:rsidP="00532E4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532E41">
              <w:rPr>
                <w:rFonts w:asciiTheme="minorHAnsi" w:hAnsiTheme="minorHAnsi"/>
                <w:b/>
                <w:sz w:val="22"/>
                <w:szCs w:val="22"/>
              </w:rPr>
              <w:t>External validation confirms that differentiation is evident and effective in enhancing learning opportunities for all pupils.</w:t>
            </w:r>
          </w:p>
        </w:tc>
      </w:tr>
      <w:tr w:rsidR="000618E7" w:rsidTr="00B775ED">
        <w:trPr>
          <w:trHeight w:val="1228"/>
        </w:trPr>
        <w:tc>
          <w:tcPr>
            <w:tcW w:w="2263" w:type="dxa"/>
            <w:vMerge/>
            <w:shd w:val="clear" w:color="auto" w:fill="FFD966" w:themeFill="accent4" w:themeFillTint="99"/>
          </w:tcPr>
          <w:p w:rsidR="000618E7" w:rsidRDefault="000618E7" w:rsidP="00007C57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0618E7" w:rsidRDefault="000618E7" w:rsidP="00C861D8">
            <w:pPr>
              <w:rPr>
                <w:b/>
              </w:rPr>
            </w:pPr>
            <w:r>
              <w:rPr>
                <w:b/>
              </w:rPr>
              <w:t>By July 2018 to ensure adults within the school are deployed in a cost effective manner to effectively meet the needs of all pupils</w:t>
            </w:r>
          </w:p>
        </w:tc>
        <w:tc>
          <w:tcPr>
            <w:tcW w:w="7880" w:type="dxa"/>
          </w:tcPr>
          <w:p w:rsidR="000618E7" w:rsidRDefault="000618E7" w:rsidP="00B775E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18153E">
              <w:rPr>
                <w:rFonts w:asciiTheme="minorHAnsi" w:hAnsiTheme="minorHAnsi"/>
                <w:b/>
                <w:sz w:val="22"/>
                <w:szCs w:val="22"/>
              </w:rPr>
              <w:t>Monitoring and evaluation of teaching and learning suggests that the timetabling of additional classroom support is effective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is meeting the needs of pupils.</w:t>
            </w:r>
          </w:p>
          <w:p w:rsidR="000618E7" w:rsidRPr="0018153E" w:rsidRDefault="000618E7" w:rsidP="00B775E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Reduction in TA hours during the afternoon session does not detrimentally affect the quality of provision or the ability to meet the needs of those requiring additional support.</w:t>
            </w:r>
          </w:p>
        </w:tc>
      </w:tr>
      <w:tr w:rsidR="000618E7" w:rsidTr="00805C59">
        <w:trPr>
          <w:trHeight w:val="1338"/>
        </w:trPr>
        <w:tc>
          <w:tcPr>
            <w:tcW w:w="2263" w:type="dxa"/>
            <w:vMerge/>
            <w:shd w:val="clear" w:color="auto" w:fill="FFD966" w:themeFill="accent4" w:themeFillTint="99"/>
          </w:tcPr>
          <w:p w:rsidR="000618E7" w:rsidRDefault="000618E7" w:rsidP="0018153E">
            <w:pPr>
              <w:rPr>
                <w:b/>
              </w:rPr>
            </w:pPr>
          </w:p>
        </w:tc>
        <w:tc>
          <w:tcPr>
            <w:tcW w:w="5245" w:type="dxa"/>
          </w:tcPr>
          <w:p w:rsidR="000618E7" w:rsidRDefault="000618E7" w:rsidP="00C861D8">
            <w:pPr>
              <w:rPr>
                <w:b/>
              </w:rPr>
            </w:pPr>
            <w:r>
              <w:rPr>
                <w:b/>
              </w:rPr>
              <w:t xml:space="preserve">By July 2018 to ensure complete consistency of approach and application of key school policies by all teams and members of staff </w:t>
            </w:r>
          </w:p>
        </w:tc>
        <w:tc>
          <w:tcPr>
            <w:tcW w:w="7880" w:type="dxa"/>
          </w:tcPr>
          <w:p w:rsidR="000618E7" w:rsidRPr="00805C59" w:rsidRDefault="000618E7" w:rsidP="00805C59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805C59">
              <w:rPr>
                <w:rFonts w:asciiTheme="minorHAnsi" w:hAnsiTheme="minorHAnsi"/>
                <w:b/>
                <w:sz w:val="22"/>
                <w:szCs w:val="22"/>
              </w:rPr>
              <w:t>Staff and volunteers are supported to ensure the behaviour policy is consistently applied by all teams within the school so pupils develop appropriate respect for all adults.</w:t>
            </w:r>
          </w:p>
          <w:p w:rsidR="000618E7" w:rsidRPr="00805C59" w:rsidRDefault="000618E7" w:rsidP="00805C59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805C59">
              <w:rPr>
                <w:rFonts w:asciiTheme="minorHAnsi" w:hAnsiTheme="minorHAnsi"/>
                <w:b/>
                <w:sz w:val="22"/>
                <w:szCs w:val="22"/>
              </w:rPr>
              <w:t>Consistency in application of the Handwriting and Presentation Policy is reflected in work scrutiny activities.</w:t>
            </w:r>
          </w:p>
          <w:p w:rsidR="000618E7" w:rsidRPr="00805C59" w:rsidRDefault="000618E7" w:rsidP="00805C59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Consistency in application of the Behaviour Policy is reflected in monitoring records.</w:t>
            </w:r>
          </w:p>
        </w:tc>
      </w:tr>
      <w:tr w:rsidR="000618E7" w:rsidTr="00973A53">
        <w:trPr>
          <w:trHeight w:val="1880"/>
        </w:trPr>
        <w:tc>
          <w:tcPr>
            <w:tcW w:w="2263" w:type="dxa"/>
            <w:vMerge/>
            <w:shd w:val="clear" w:color="auto" w:fill="FFD966" w:themeFill="accent4" w:themeFillTint="99"/>
          </w:tcPr>
          <w:p w:rsidR="000618E7" w:rsidRDefault="000618E7" w:rsidP="00007C57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0618E7" w:rsidRDefault="000618E7" w:rsidP="00C861D8">
            <w:pPr>
              <w:rPr>
                <w:b/>
              </w:rPr>
            </w:pPr>
            <w:r>
              <w:rPr>
                <w:b/>
              </w:rPr>
              <w:t>By July 2018 to firmly embed a consistent approach to teaching ‘Growth Mindsets’ in order to further develop a learning orientation in our pupils</w:t>
            </w:r>
          </w:p>
        </w:tc>
        <w:tc>
          <w:tcPr>
            <w:tcW w:w="7880" w:type="dxa"/>
          </w:tcPr>
          <w:p w:rsidR="000618E7" w:rsidRPr="0060140D" w:rsidRDefault="000618E7" w:rsidP="0060140D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There is a consistent display in each classroom to exemplify the ‘Growth Mindset’ concept.</w:t>
            </w:r>
          </w:p>
          <w:p w:rsidR="000618E7" w:rsidRPr="0060140D" w:rsidRDefault="000618E7" w:rsidP="0060140D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60140D">
              <w:rPr>
                <w:rFonts w:asciiTheme="minorHAnsi" w:hAnsiTheme="minorHAnsi"/>
                <w:b/>
                <w:sz w:val="22"/>
                <w:szCs w:val="22"/>
              </w:rPr>
              <w:t>Leader for ‘Growth Mindsets’ imple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ments an agreed action plan to develop this initiative across the school throughout the year.</w:t>
            </w:r>
          </w:p>
          <w:p w:rsidR="000618E7" w:rsidRPr="0060140D" w:rsidRDefault="000618E7" w:rsidP="0060140D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60140D">
              <w:rPr>
                <w:rFonts w:asciiTheme="minorHAnsi" w:hAnsiTheme="minorHAnsi"/>
                <w:b/>
                <w:sz w:val="22"/>
                <w:szCs w:val="22"/>
              </w:rPr>
              <w:t>Lesson observations and pupil voice activities reflect a growing understanding of the ‘Growth Mindset’ principles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from adults and children.</w:t>
            </w:r>
          </w:p>
          <w:p w:rsidR="000618E7" w:rsidRPr="0060140D" w:rsidRDefault="000618E7" w:rsidP="0060140D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Stakeholders are appropriately informed about how’ Growth Mindset’ work is being developed in the school.</w:t>
            </w:r>
          </w:p>
        </w:tc>
      </w:tr>
      <w:tr w:rsidR="006E487B" w:rsidTr="00267800">
        <w:tc>
          <w:tcPr>
            <w:tcW w:w="2263" w:type="dxa"/>
            <w:vMerge w:val="restart"/>
            <w:shd w:val="clear" w:color="auto" w:fill="9CC2E5" w:themeFill="accent1" w:themeFillTint="99"/>
          </w:tcPr>
          <w:p w:rsidR="006E487B" w:rsidRDefault="006E487B" w:rsidP="00F409C8">
            <w:pPr>
              <w:jc w:val="center"/>
              <w:rPr>
                <w:b/>
              </w:rPr>
            </w:pPr>
            <w:r>
              <w:rPr>
                <w:b/>
              </w:rPr>
              <w:t>Goal C</w:t>
            </w:r>
          </w:p>
          <w:p w:rsidR="006E487B" w:rsidRDefault="006E487B" w:rsidP="00F409C8">
            <w:pPr>
              <w:jc w:val="center"/>
              <w:rPr>
                <w:b/>
              </w:rPr>
            </w:pPr>
            <w:r>
              <w:rPr>
                <w:b/>
              </w:rPr>
              <w:t>PERSONAL DEVELOPMENT, BEHAVIOUR &amp; WELFARE</w:t>
            </w:r>
          </w:p>
          <w:p w:rsidR="006E487B" w:rsidRDefault="006E487B" w:rsidP="00F409C8">
            <w:pPr>
              <w:jc w:val="center"/>
              <w:rPr>
                <w:b/>
              </w:rPr>
            </w:pPr>
          </w:p>
          <w:p w:rsidR="006E487B" w:rsidRDefault="006E487B" w:rsidP="00F409C8">
            <w:pPr>
              <w:jc w:val="center"/>
              <w:rPr>
                <w:b/>
              </w:rPr>
            </w:pPr>
          </w:p>
          <w:p w:rsidR="006E487B" w:rsidRDefault="006E487B" w:rsidP="00F409C8">
            <w:pPr>
              <w:jc w:val="center"/>
              <w:rPr>
                <w:b/>
              </w:rPr>
            </w:pPr>
          </w:p>
          <w:p w:rsidR="006E487B" w:rsidRDefault="006E487B" w:rsidP="00F409C8">
            <w:pPr>
              <w:rPr>
                <w:b/>
              </w:rPr>
            </w:pPr>
          </w:p>
        </w:tc>
        <w:tc>
          <w:tcPr>
            <w:tcW w:w="5245" w:type="dxa"/>
          </w:tcPr>
          <w:p w:rsidR="006E487B" w:rsidRDefault="006E487B" w:rsidP="00F409C8">
            <w:pPr>
              <w:rPr>
                <w:b/>
              </w:rPr>
            </w:pPr>
            <w:r>
              <w:rPr>
                <w:b/>
              </w:rPr>
              <w:t>By July 2018 to engage further with  targeted ‘hard to reach’ parents to ensure pupils are well supported in their learning</w:t>
            </w:r>
          </w:p>
        </w:tc>
        <w:tc>
          <w:tcPr>
            <w:tcW w:w="7880" w:type="dxa"/>
          </w:tcPr>
          <w:p w:rsidR="006E487B" w:rsidRPr="005819ED" w:rsidRDefault="006E487B" w:rsidP="005819ED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5819ED">
              <w:rPr>
                <w:rFonts w:asciiTheme="minorHAnsi" w:hAnsiTheme="minorHAnsi"/>
                <w:b/>
                <w:sz w:val="22"/>
                <w:szCs w:val="22"/>
              </w:rPr>
              <w:t>Pupils who are not benefitting from regular learning support at home are identified and arrangements are in place to ensure they have similar opportunities as their peers</w:t>
            </w:r>
            <w:r w:rsidR="006736C8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  <w:tr w:rsidR="006E487B" w:rsidTr="00267800">
        <w:tc>
          <w:tcPr>
            <w:tcW w:w="2263" w:type="dxa"/>
            <w:vMerge/>
            <w:shd w:val="clear" w:color="auto" w:fill="9CC2E5" w:themeFill="accent1" w:themeFillTint="99"/>
          </w:tcPr>
          <w:p w:rsidR="006E487B" w:rsidRDefault="006E487B" w:rsidP="00F409C8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6E487B" w:rsidRPr="005819ED" w:rsidRDefault="006E487B" w:rsidP="005819E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By July 2018 to </w:t>
            </w:r>
            <w:r w:rsidRPr="005819ED">
              <w:rPr>
                <w:rFonts w:ascii="Calibri" w:hAnsi="Calibri" w:cs="Calibri"/>
                <w:b/>
              </w:rPr>
              <w:t xml:space="preserve">develop a culture of mutual respect </w:t>
            </w:r>
            <w:r>
              <w:rPr>
                <w:rFonts w:ascii="Calibri" w:hAnsi="Calibri" w:cs="Calibri"/>
                <w:b/>
              </w:rPr>
              <w:t xml:space="preserve">for each other </w:t>
            </w:r>
            <w:r w:rsidRPr="005819ED">
              <w:rPr>
                <w:rFonts w:ascii="Calibri" w:hAnsi="Calibri" w:cs="Calibri"/>
                <w:b/>
              </w:rPr>
              <w:t>by introducing systems so older children can nurture younger pupils in the school</w:t>
            </w:r>
          </w:p>
          <w:p w:rsidR="006E487B" w:rsidRDefault="006E487B" w:rsidP="00F409C8">
            <w:pPr>
              <w:rPr>
                <w:b/>
              </w:rPr>
            </w:pPr>
          </w:p>
        </w:tc>
        <w:tc>
          <w:tcPr>
            <w:tcW w:w="7880" w:type="dxa"/>
          </w:tcPr>
          <w:p w:rsidR="006E487B" w:rsidRPr="005819ED" w:rsidRDefault="006E487B" w:rsidP="005819E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There are a range of clearly identifiable systems in place to allow younger children in the school to be supported by older pupils:</w:t>
            </w:r>
          </w:p>
          <w:p w:rsidR="006E487B" w:rsidRPr="005819ED" w:rsidRDefault="006E487B" w:rsidP="005819ED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Lunchtime monitors</w:t>
            </w:r>
          </w:p>
          <w:p w:rsidR="006E487B" w:rsidRPr="005819ED" w:rsidRDefault="006E487B" w:rsidP="005819ED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Play Pals</w:t>
            </w:r>
          </w:p>
          <w:p w:rsidR="006E487B" w:rsidRDefault="006E487B" w:rsidP="005819ED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5819ED">
              <w:rPr>
                <w:rFonts w:asciiTheme="minorHAnsi" w:hAnsiTheme="minorHAnsi"/>
                <w:b/>
                <w:sz w:val="22"/>
                <w:szCs w:val="22"/>
              </w:rPr>
              <w:t>Reading partners</w:t>
            </w:r>
          </w:p>
          <w:p w:rsidR="006E487B" w:rsidRPr="000618E7" w:rsidRDefault="006E487B" w:rsidP="000618E7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Writing partners</w:t>
            </w:r>
          </w:p>
        </w:tc>
      </w:tr>
      <w:tr w:rsidR="006E487B" w:rsidTr="00267800">
        <w:tc>
          <w:tcPr>
            <w:tcW w:w="2263" w:type="dxa"/>
            <w:vMerge/>
            <w:shd w:val="clear" w:color="auto" w:fill="9CC2E5" w:themeFill="accent1" w:themeFillTint="99"/>
          </w:tcPr>
          <w:p w:rsidR="006E487B" w:rsidRDefault="006E487B" w:rsidP="00F409C8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6E487B" w:rsidRPr="00F14A0B" w:rsidRDefault="00F14A0B" w:rsidP="00F14A0B">
            <w:pPr>
              <w:rPr>
                <w:rFonts w:ascii="Calibri" w:hAnsi="Calibri" w:cs="Calibri"/>
                <w:b/>
              </w:rPr>
            </w:pPr>
            <w:r w:rsidRPr="00F14A0B">
              <w:rPr>
                <w:rFonts w:ascii="Calibri" w:hAnsi="Calibri" w:cs="Calibri"/>
                <w:b/>
              </w:rPr>
              <w:t xml:space="preserve">By July 2018 behaviour monitoring records reflect a reduction in the number of incidences of children breaking the Golden Rules: </w:t>
            </w:r>
          </w:p>
          <w:p w:rsidR="00F14A0B" w:rsidRPr="00F14A0B" w:rsidRDefault="00F14A0B" w:rsidP="00F14A0B">
            <w:pPr>
              <w:rPr>
                <w:rFonts w:ascii="Calibri" w:hAnsi="Calibri" w:cs="Calibri"/>
                <w:b/>
              </w:rPr>
            </w:pPr>
            <w:r w:rsidRPr="00F14A0B">
              <w:rPr>
                <w:rFonts w:ascii="Calibri" w:hAnsi="Calibri" w:cs="Calibri"/>
                <w:b/>
              </w:rPr>
              <w:t>Do be gentle</w:t>
            </w:r>
          </w:p>
          <w:p w:rsidR="00F14A0B" w:rsidRPr="00F14A0B" w:rsidRDefault="00F14A0B" w:rsidP="00F14A0B">
            <w:pPr>
              <w:rPr>
                <w:rFonts w:ascii="Calibri" w:hAnsi="Calibri" w:cs="Calibri"/>
                <w:b/>
              </w:rPr>
            </w:pPr>
            <w:r w:rsidRPr="00F14A0B">
              <w:rPr>
                <w:rFonts w:ascii="Calibri" w:hAnsi="Calibri" w:cs="Calibri"/>
                <w:b/>
              </w:rPr>
              <w:t>Do be kind and helpful</w:t>
            </w:r>
          </w:p>
        </w:tc>
        <w:tc>
          <w:tcPr>
            <w:tcW w:w="7880" w:type="dxa"/>
          </w:tcPr>
          <w:p w:rsidR="006E487B" w:rsidRPr="00F14A0B" w:rsidRDefault="00846D63" w:rsidP="006E487B">
            <w:pPr>
              <w:pStyle w:val="ListParagraph"/>
              <w:numPr>
                <w:ilvl w:val="0"/>
                <w:numId w:val="18"/>
              </w:numPr>
              <w:rPr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Pupils</w:t>
            </w:r>
            <w:r w:rsidR="006E487B" w:rsidRPr="00F14A0B">
              <w:rPr>
                <w:rFonts w:ascii="Calibri" w:hAnsi="Calibri" w:cs="Calibri"/>
                <w:b/>
                <w:sz w:val="22"/>
                <w:szCs w:val="22"/>
              </w:rPr>
              <w:t xml:space="preserve"> choose from a taught repertoire of games and activities designed to further improve behaviour and empathy </w:t>
            </w:r>
            <w:r w:rsidR="00F14A0B" w:rsidRPr="00F14A0B">
              <w:rPr>
                <w:rFonts w:ascii="Calibri" w:hAnsi="Calibri" w:cs="Calibri"/>
                <w:b/>
                <w:sz w:val="22"/>
                <w:szCs w:val="22"/>
              </w:rPr>
              <w:t>on the playground.</w:t>
            </w:r>
          </w:p>
          <w:p w:rsidR="00F14A0B" w:rsidRPr="00F14A0B" w:rsidRDefault="006E487B" w:rsidP="00F14A0B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F14A0B">
              <w:rPr>
                <w:rFonts w:ascii="Calibri" w:hAnsi="Calibri" w:cs="Calibri"/>
                <w:b/>
                <w:sz w:val="22"/>
                <w:szCs w:val="22"/>
              </w:rPr>
              <w:t>Pupil Voice activities</w:t>
            </w:r>
            <w:r w:rsidR="00F14A0B" w:rsidRPr="00F14A0B">
              <w:rPr>
                <w:rFonts w:ascii="Calibri" w:hAnsi="Calibri" w:cs="Calibri"/>
                <w:b/>
                <w:sz w:val="22"/>
                <w:szCs w:val="22"/>
              </w:rPr>
              <w:t xml:space="preserve">, Health &amp; Safety Week Activities and </w:t>
            </w:r>
            <w:r w:rsidRPr="00F14A0B">
              <w:rPr>
                <w:rFonts w:ascii="Calibri" w:hAnsi="Calibri" w:cs="Calibri"/>
                <w:b/>
                <w:sz w:val="22"/>
                <w:szCs w:val="22"/>
              </w:rPr>
              <w:t>P4C ses</w:t>
            </w:r>
            <w:r w:rsidR="00F14A0B" w:rsidRPr="00F14A0B">
              <w:rPr>
                <w:rFonts w:ascii="Calibri" w:hAnsi="Calibri" w:cs="Calibri"/>
                <w:b/>
                <w:sz w:val="22"/>
                <w:szCs w:val="22"/>
              </w:rPr>
              <w:t>sions have been used to develop pupil’s understanding of the difference between unkind behaviour and bullying</w:t>
            </w:r>
            <w:r w:rsidR="006736C8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:rsidR="006E487B" w:rsidRPr="00846D63" w:rsidRDefault="00846D63" w:rsidP="00F14A0B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Behaviour monitoring records reflect a reduction in the number of incidences where children have</w:t>
            </w:r>
            <w:r w:rsidR="006736C8">
              <w:rPr>
                <w:rFonts w:ascii="Calibri" w:hAnsi="Calibri" w:cs="Calibri"/>
                <w:b/>
                <w:sz w:val="22"/>
                <w:szCs w:val="22"/>
              </w:rPr>
              <w:t xml:space="preserve"> not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been kind or gentle</w:t>
            </w:r>
            <w:r w:rsidR="006736C8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6E487B" w:rsidTr="00267800">
        <w:tc>
          <w:tcPr>
            <w:tcW w:w="2263" w:type="dxa"/>
            <w:vMerge/>
            <w:shd w:val="clear" w:color="auto" w:fill="9CC2E5" w:themeFill="accent1" w:themeFillTint="99"/>
          </w:tcPr>
          <w:p w:rsidR="006E487B" w:rsidRDefault="006E487B" w:rsidP="00F409C8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6E487B" w:rsidRDefault="006E487B" w:rsidP="00F409C8">
            <w:pPr>
              <w:rPr>
                <w:b/>
              </w:rPr>
            </w:pPr>
            <w:r>
              <w:rPr>
                <w:b/>
              </w:rPr>
              <w:t>By July 2018 to have engaged in a Schools Linking P</w:t>
            </w:r>
            <w:r w:rsidR="006736C8">
              <w:rPr>
                <w:b/>
              </w:rPr>
              <w:t>roject designed to develop mutual respect and an understanding of the context of both schools</w:t>
            </w:r>
          </w:p>
        </w:tc>
        <w:tc>
          <w:tcPr>
            <w:tcW w:w="7880" w:type="dxa"/>
          </w:tcPr>
          <w:p w:rsidR="006E487B" w:rsidRPr="006736C8" w:rsidRDefault="006736C8" w:rsidP="006736C8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 class of pupils at JHSW have had the opportunity to meet and work with pupils from another Buckinghamshire school with a different context.</w:t>
            </w:r>
          </w:p>
          <w:p w:rsidR="006736C8" w:rsidRPr="006736C8" w:rsidRDefault="006736C8" w:rsidP="006736C8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Pupils involved in the Linking Project have had the opportunity to share their experiences with the rest of JHSW. </w:t>
            </w:r>
          </w:p>
          <w:p w:rsidR="006736C8" w:rsidRPr="006736C8" w:rsidRDefault="006736C8" w:rsidP="006736C8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Evaluation of the linking project reflects identifiable benefits for pupils at JHSW </w:t>
            </w:r>
          </w:p>
        </w:tc>
      </w:tr>
      <w:tr w:rsidR="006E487B" w:rsidTr="00267800">
        <w:tc>
          <w:tcPr>
            <w:tcW w:w="2263" w:type="dxa"/>
            <w:vMerge/>
            <w:shd w:val="clear" w:color="auto" w:fill="9CC2E5" w:themeFill="accent1" w:themeFillTint="99"/>
          </w:tcPr>
          <w:p w:rsidR="006E487B" w:rsidRDefault="006E487B" w:rsidP="00F409C8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6E487B" w:rsidRDefault="006E487B" w:rsidP="006E487B">
            <w:pPr>
              <w:rPr>
                <w:b/>
              </w:rPr>
            </w:pPr>
            <w:r>
              <w:rPr>
                <w:b/>
              </w:rPr>
              <w:t xml:space="preserve">By July 2018 to improve the </w:t>
            </w:r>
            <w:r w:rsidR="006736C8">
              <w:rPr>
                <w:b/>
              </w:rPr>
              <w:t>responses</w:t>
            </w:r>
            <w:r>
              <w:rPr>
                <w:b/>
              </w:rPr>
              <w:t xml:space="preserve"> in the four  lowest scoring areas of the  annual staff well-being survey by taking actions to address the key</w:t>
            </w:r>
            <w:r w:rsidR="006736C8">
              <w:rPr>
                <w:b/>
              </w:rPr>
              <w:t xml:space="preserve"> issues identified within them</w:t>
            </w:r>
          </w:p>
        </w:tc>
        <w:tc>
          <w:tcPr>
            <w:tcW w:w="7880" w:type="dxa"/>
          </w:tcPr>
          <w:p w:rsidR="006E487B" w:rsidRPr="006E487B" w:rsidRDefault="006E487B" w:rsidP="000618E7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There is an improvement in the mean score for each area of the annual staff well-being survey in the lowest totals identified in the 2017 survey i.e.</w:t>
            </w:r>
          </w:p>
          <w:p w:rsidR="006E487B" w:rsidRPr="006E487B" w:rsidRDefault="006E487B" w:rsidP="006E487B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6E487B">
              <w:rPr>
                <w:rFonts w:asciiTheme="minorHAnsi" w:hAnsiTheme="minorHAnsi"/>
                <w:b/>
                <w:sz w:val="22"/>
                <w:szCs w:val="22"/>
              </w:rPr>
              <w:t>Demands</w:t>
            </w:r>
          </w:p>
          <w:p w:rsidR="006E487B" w:rsidRPr="006E487B" w:rsidRDefault="006E487B" w:rsidP="006E487B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6E487B">
              <w:rPr>
                <w:rFonts w:asciiTheme="minorHAnsi" w:hAnsiTheme="minorHAnsi"/>
                <w:b/>
                <w:sz w:val="22"/>
                <w:szCs w:val="22"/>
              </w:rPr>
              <w:t>Control</w:t>
            </w:r>
          </w:p>
          <w:p w:rsidR="006E487B" w:rsidRPr="006E487B" w:rsidRDefault="006E487B" w:rsidP="006E487B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6E487B">
              <w:rPr>
                <w:rFonts w:asciiTheme="minorHAnsi" w:hAnsiTheme="minorHAnsi"/>
                <w:b/>
                <w:sz w:val="22"/>
                <w:szCs w:val="22"/>
              </w:rPr>
              <w:t>Change</w:t>
            </w:r>
          </w:p>
          <w:p w:rsidR="006E487B" w:rsidRPr="000618E7" w:rsidRDefault="006E487B" w:rsidP="006E487B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6E487B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Personal Well-Being &amp; Work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Pr="006E487B">
              <w:rPr>
                <w:rFonts w:asciiTheme="minorHAnsi" w:hAnsiTheme="minorHAnsi"/>
                <w:b/>
                <w:sz w:val="22"/>
                <w:szCs w:val="22"/>
              </w:rPr>
              <w:t>life Balance</w:t>
            </w:r>
          </w:p>
        </w:tc>
      </w:tr>
      <w:tr w:rsidR="006E487B" w:rsidTr="00267800">
        <w:tc>
          <w:tcPr>
            <w:tcW w:w="2263" w:type="dxa"/>
            <w:vMerge/>
            <w:shd w:val="clear" w:color="auto" w:fill="9CC2E5" w:themeFill="accent1" w:themeFillTint="99"/>
          </w:tcPr>
          <w:p w:rsidR="006E487B" w:rsidRDefault="006E487B" w:rsidP="000618E7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6E487B" w:rsidRDefault="006E487B" w:rsidP="000618E7">
            <w:pPr>
              <w:rPr>
                <w:b/>
              </w:rPr>
            </w:pPr>
            <w:r>
              <w:rPr>
                <w:b/>
              </w:rPr>
              <w:t>By July 2018 to further improve transition arrangements for pupils as they move into a new year group to ensure pupils, staff and parents feel they are well prepared for a smooth changeover</w:t>
            </w:r>
          </w:p>
        </w:tc>
        <w:tc>
          <w:tcPr>
            <w:tcW w:w="7880" w:type="dxa"/>
          </w:tcPr>
          <w:p w:rsidR="006E487B" w:rsidRPr="0018153E" w:rsidRDefault="006E487B" w:rsidP="000618E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The transition timetable for the first half of the Autumn Term 2017 builds on the previous experiences of pupils and reflects their interests and abilities.</w:t>
            </w:r>
          </w:p>
          <w:p w:rsidR="006E487B" w:rsidRPr="0018153E" w:rsidRDefault="006E487B" w:rsidP="000618E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Parents/carers are given appropriate information about the transition process at timely points during the school year to support their child’s move.</w:t>
            </w:r>
          </w:p>
          <w:p w:rsidR="006E487B" w:rsidRPr="0018153E" w:rsidRDefault="006E487B" w:rsidP="000618E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Transition activities are beneficial in ensuring a smooth changeover so pupils are well prepared for life in a new classroom with new classmates.</w:t>
            </w:r>
          </w:p>
          <w:p w:rsidR="006E487B" w:rsidRPr="00805C59" w:rsidRDefault="006E487B" w:rsidP="000618E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Pupils are appropriately consulted on matters linked to transition to ensure their wishes and feelings are considered and addressed as part of the plan.</w:t>
            </w:r>
          </w:p>
        </w:tc>
      </w:tr>
      <w:tr w:rsidR="000618E7" w:rsidTr="00267800">
        <w:trPr>
          <w:trHeight w:val="866"/>
        </w:trPr>
        <w:tc>
          <w:tcPr>
            <w:tcW w:w="2263" w:type="dxa"/>
            <w:vMerge w:val="restart"/>
            <w:shd w:val="clear" w:color="auto" w:fill="A8D08D" w:themeFill="accent6" w:themeFillTint="99"/>
          </w:tcPr>
          <w:p w:rsidR="000618E7" w:rsidRDefault="000618E7" w:rsidP="000618E7">
            <w:pPr>
              <w:jc w:val="center"/>
              <w:rPr>
                <w:b/>
              </w:rPr>
            </w:pPr>
            <w:r>
              <w:rPr>
                <w:b/>
              </w:rPr>
              <w:t>Goal D</w:t>
            </w:r>
          </w:p>
          <w:p w:rsidR="000618E7" w:rsidRDefault="000618E7" w:rsidP="000618E7">
            <w:pPr>
              <w:jc w:val="center"/>
              <w:rPr>
                <w:b/>
              </w:rPr>
            </w:pPr>
            <w:r>
              <w:rPr>
                <w:b/>
              </w:rPr>
              <w:t>PUPIL OUTCOMES</w:t>
            </w:r>
          </w:p>
        </w:tc>
        <w:tc>
          <w:tcPr>
            <w:tcW w:w="5245" w:type="dxa"/>
          </w:tcPr>
          <w:p w:rsidR="000618E7" w:rsidRDefault="000618E7" w:rsidP="000618E7">
            <w:pPr>
              <w:rPr>
                <w:b/>
              </w:rPr>
            </w:pPr>
            <w:r>
              <w:rPr>
                <w:b/>
              </w:rPr>
              <w:t>By July 2018 to maintain and, where possible, improve the consistently high pupil outcomes achieved at JHSW, as measured by statutory assessment during EYFS and KS1.</w:t>
            </w:r>
          </w:p>
        </w:tc>
        <w:tc>
          <w:tcPr>
            <w:tcW w:w="7880" w:type="dxa"/>
          </w:tcPr>
          <w:p w:rsidR="008C58D4" w:rsidRDefault="008C58D4" w:rsidP="008C58D4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8C58D4">
              <w:rPr>
                <w:rFonts w:asciiTheme="minorHAnsi" w:hAnsiTheme="minorHAnsi"/>
                <w:b/>
                <w:sz w:val="22"/>
                <w:szCs w:val="22"/>
              </w:rPr>
              <w:t>There is a clear and shared collective understanding of what constitutes performance at the Age Related Expectation for each area using nationally and locally agreed exemplification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513EF6" w:rsidRPr="008C58D4" w:rsidRDefault="00513EF6" w:rsidP="008C58D4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513EF6">
              <w:rPr>
                <w:rFonts w:asciiTheme="minorHAnsi" w:hAnsiTheme="minorHAnsi"/>
                <w:b/>
                <w:sz w:val="22"/>
                <w:szCs w:val="22"/>
              </w:rPr>
              <w:t xml:space="preserve">Regular opportunities for high quality summative assessment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of Reading, Writing, Maths and P</w:t>
            </w:r>
            <w:r w:rsidRPr="00513EF6">
              <w:rPr>
                <w:rFonts w:asciiTheme="minorHAnsi" w:hAnsiTheme="minorHAnsi"/>
                <w:b/>
                <w:sz w:val="22"/>
                <w:szCs w:val="22"/>
              </w:rPr>
              <w:t>honics allow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Pr="00513EF6">
              <w:rPr>
                <w:rFonts w:asciiTheme="minorHAnsi" w:hAnsiTheme="minorHAnsi"/>
                <w:b/>
                <w:sz w:val="22"/>
                <w:szCs w:val="22"/>
              </w:rPr>
              <w:t xml:space="preserve"> attainm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ent and progress to be measured </w:t>
            </w:r>
            <w:r w:rsidRPr="00513EF6">
              <w:rPr>
                <w:rFonts w:asciiTheme="minorHAnsi" w:hAnsiTheme="minorHAnsi"/>
                <w:b/>
                <w:sz w:val="22"/>
                <w:szCs w:val="22"/>
              </w:rPr>
              <w:t>in line with Monitoring and Evaluati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on Policy and Assessment Policy.</w:t>
            </w:r>
          </w:p>
          <w:p w:rsidR="000618E7" w:rsidRPr="008C58D4" w:rsidRDefault="008C58D4" w:rsidP="008C58D4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8C58D4">
              <w:rPr>
                <w:rFonts w:asciiTheme="minorHAnsi" w:hAnsiTheme="minorHAnsi"/>
                <w:b/>
                <w:sz w:val="22"/>
                <w:szCs w:val="22"/>
              </w:rPr>
              <w:t>High standards in all statutory assessments are maintained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or improved.</w:t>
            </w:r>
          </w:p>
        </w:tc>
      </w:tr>
      <w:tr w:rsidR="000618E7" w:rsidTr="00267800">
        <w:tc>
          <w:tcPr>
            <w:tcW w:w="2263" w:type="dxa"/>
            <w:vMerge/>
            <w:shd w:val="clear" w:color="auto" w:fill="A8D08D" w:themeFill="accent6" w:themeFillTint="99"/>
          </w:tcPr>
          <w:p w:rsidR="000618E7" w:rsidRDefault="000618E7" w:rsidP="000618E7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0618E7" w:rsidRDefault="000618E7" w:rsidP="000618E7">
            <w:pPr>
              <w:rPr>
                <w:b/>
              </w:rPr>
            </w:pPr>
            <w:r>
              <w:rPr>
                <w:b/>
              </w:rPr>
              <w:t>To ensure that at leas</w:t>
            </w:r>
            <w:r w:rsidR="008C58D4">
              <w:rPr>
                <w:b/>
              </w:rPr>
              <w:t xml:space="preserve">t 90% of pupils who have spent </w:t>
            </w:r>
            <w:r w:rsidR="00513EF6">
              <w:rPr>
                <w:b/>
              </w:rPr>
              <w:t>their whole time at JHSW</w:t>
            </w:r>
            <w:r w:rsidR="008C58D4">
              <w:rPr>
                <w:b/>
              </w:rPr>
              <w:t xml:space="preserve"> </w:t>
            </w:r>
            <w:r>
              <w:rPr>
                <w:b/>
              </w:rPr>
              <w:t>make expected progress from</w:t>
            </w:r>
            <w:r w:rsidR="00513EF6">
              <w:rPr>
                <w:b/>
              </w:rPr>
              <w:t xml:space="preserve"> the end of EYFS</w:t>
            </w:r>
            <w:r>
              <w:rPr>
                <w:b/>
              </w:rPr>
              <w:t xml:space="preserve">, in </w:t>
            </w:r>
            <w:r w:rsidR="00513EF6">
              <w:rPr>
                <w:b/>
              </w:rPr>
              <w:t xml:space="preserve">Phonics, </w:t>
            </w:r>
            <w:r>
              <w:rPr>
                <w:b/>
              </w:rPr>
              <w:t xml:space="preserve">Reading, Writing and Mathematics </w:t>
            </w:r>
          </w:p>
        </w:tc>
        <w:tc>
          <w:tcPr>
            <w:tcW w:w="7880" w:type="dxa"/>
          </w:tcPr>
          <w:p w:rsidR="000618E7" w:rsidRPr="00513EF6" w:rsidRDefault="00513EF6" w:rsidP="00513EF6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Comprehensive target setting, specific interventions and necessary support is in place for all pupils to enable each individual to make appropriate progress in the development of key skills and knowledge.</w:t>
            </w:r>
          </w:p>
        </w:tc>
      </w:tr>
      <w:tr w:rsidR="008C58D4" w:rsidTr="00267800">
        <w:tc>
          <w:tcPr>
            <w:tcW w:w="2263" w:type="dxa"/>
            <w:vMerge/>
            <w:shd w:val="clear" w:color="auto" w:fill="A8D08D" w:themeFill="accent6" w:themeFillTint="99"/>
          </w:tcPr>
          <w:p w:rsidR="008C58D4" w:rsidRDefault="008C58D4" w:rsidP="000618E7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8C58D4" w:rsidRDefault="00E445DD" w:rsidP="00E445DD">
            <w:pPr>
              <w:rPr>
                <w:b/>
              </w:rPr>
            </w:pPr>
            <w:r>
              <w:rPr>
                <w:b/>
              </w:rPr>
              <w:t>To ensure that our l</w:t>
            </w:r>
            <w:r w:rsidR="008C58D4">
              <w:rPr>
                <w:b/>
              </w:rPr>
              <w:t>east able</w:t>
            </w:r>
            <w:r>
              <w:rPr>
                <w:b/>
              </w:rPr>
              <w:t xml:space="preserve"> pupils</w:t>
            </w:r>
            <w:r w:rsidR="008C58D4">
              <w:rPr>
                <w:b/>
              </w:rPr>
              <w:t xml:space="preserve"> without SEN and</w:t>
            </w:r>
            <w:r>
              <w:rPr>
                <w:b/>
              </w:rPr>
              <w:t xml:space="preserve"> any</w:t>
            </w:r>
            <w:r w:rsidR="008C58D4">
              <w:rPr>
                <w:b/>
              </w:rPr>
              <w:t xml:space="preserve"> PP </w:t>
            </w:r>
            <w:r>
              <w:rPr>
                <w:b/>
              </w:rPr>
              <w:t xml:space="preserve">pupils with SEN receive the appropriate support and interventions to enable them to make expected progress. </w:t>
            </w:r>
          </w:p>
        </w:tc>
        <w:tc>
          <w:tcPr>
            <w:tcW w:w="7880" w:type="dxa"/>
          </w:tcPr>
          <w:p w:rsidR="008C58D4" w:rsidRPr="00E445DD" w:rsidRDefault="00E445DD" w:rsidP="00E445D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E445DD">
              <w:rPr>
                <w:rFonts w:asciiTheme="minorHAnsi" w:hAnsiTheme="minorHAnsi"/>
                <w:b/>
                <w:sz w:val="22"/>
                <w:szCs w:val="22"/>
              </w:rPr>
              <w:t>Outcomes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in terms of attainment and progress measures</w:t>
            </w:r>
            <w:r w:rsidRPr="00E445DD">
              <w:rPr>
                <w:rFonts w:asciiTheme="minorHAnsi" w:hAnsiTheme="minorHAnsi"/>
                <w:b/>
                <w:sz w:val="22"/>
                <w:szCs w:val="22"/>
              </w:rPr>
              <w:t xml:space="preserve"> for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our least able pupils without SEN and any PP pupils with SEN reflect positively for these children.</w:t>
            </w:r>
          </w:p>
        </w:tc>
      </w:tr>
      <w:tr w:rsidR="000618E7" w:rsidTr="00267800">
        <w:tc>
          <w:tcPr>
            <w:tcW w:w="2263" w:type="dxa"/>
            <w:vMerge/>
            <w:shd w:val="clear" w:color="auto" w:fill="A8D08D" w:themeFill="accent6" w:themeFillTint="99"/>
          </w:tcPr>
          <w:p w:rsidR="000618E7" w:rsidRDefault="000618E7" w:rsidP="000618E7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0618E7" w:rsidRDefault="00616F03" w:rsidP="008C58D4">
            <w:pPr>
              <w:rPr>
                <w:b/>
              </w:rPr>
            </w:pPr>
            <w:r>
              <w:rPr>
                <w:b/>
              </w:rPr>
              <w:t>By July 2018</w:t>
            </w:r>
            <w:bookmarkStart w:id="0" w:name="_GoBack"/>
            <w:bookmarkEnd w:id="0"/>
            <w:r w:rsidR="000618E7">
              <w:rPr>
                <w:b/>
              </w:rPr>
              <w:t xml:space="preserve"> to ensure that there are high expectations and levels of support for identified groups </w:t>
            </w:r>
            <w:r w:rsidR="008C58D4">
              <w:rPr>
                <w:b/>
              </w:rPr>
              <w:t xml:space="preserve">of pupils  (PP, EAL, Most Able, </w:t>
            </w:r>
            <w:r w:rsidR="000618E7">
              <w:rPr>
                <w:b/>
              </w:rPr>
              <w:t>SEN) to ensure diminishing differences when compared with all other pupils nationally</w:t>
            </w:r>
          </w:p>
        </w:tc>
        <w:tc>
          <w:tcPr>
            <w:tcW w:w="7880" w:type="dxa"/>
          </w:tcPr>
          <w:p w:rsidR="000618E7" w:rsidRDefault="000618E7" w:rsidP="008C58D4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8C58D4">
              <w:rPr>
                <w:rFonts w:asciiTheme="minorHAnsi" w:hAnsiTheme="minorHAnsi"/>
                <w:b/>
                <w:sz w:val="22"/>
                <w:szCs w:val="22"/>
              </w:rPr>
              <w:t>Outcomes for identified groups of pupils reflect diminishing differences when compared with all other pupils nationally</w:t>
            </w:r>
          </w:p>
          <w:p w:rsidR="008C58D4" w:rsidRPr="008C58D4" w:rsidRDefault="008C58D4" w:rsidP="008C58D4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Progress and attainment of least able pupils improves so that fewer children are working towards the expected standard in reading, writing and mathematics.</w:t>
            </w:r>
          </w:p>
        </w:tc>
      </w:tr>
    </w:tbl>
    <w:p w:rsidR="00007C57" w:rsidRPr="00007C57" w:rsidRDefault="00007C57" w:rsidP="00C861D8">
      <w:pPr>
        <w:rPr>
          <w:b/>
        </w:rPr>
      </w:pPr>
    </w:p>
    <w:sectPr w:rsidR="00007C57" w:rsidRPr="00007C57" w:rsidSect="00007C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84A" w:rsidRDefault="00F8284A" w:rsidP="00EC314E">
      <w:pPr>
        <w:spacing w:after="0" w:line="240" w:lineRule="auto"/>
      </w:pPr>
      <w:r>
        <w:separator/>
      </w:r>
    </w:p>
  </w:endnote>
  <w:endnote w:type="continuationSeparator" w:id="0">
    <w:p w:rsidR="00F8284A" w:rsidRDefault="00F8284A" w:rsidP="00EC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14E" w:rsidRDefault="00EC31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14E" w:rsidRDefault="00EC31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14E" w:rsidRDefault="00EC31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84A" w:rsidRDefault="00F8284A" w:rsidP="00EC314E">
      <w:pPr>
        <w:spacing w:after="0" w:line="240" w:lineRule="auto"/>
      </w:pPr>
      <w:r>
        <w:separator/>
      </w:r>
    </w:p>
  </w:footnote>
  <w:footnote w:type="continuationSeparator" w:id="0">
    <w:p w:rsidR="00F8284A" w:rsidRDefault="00F8284A" w:rsidP="00EC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14E" w:rsidRDefault="00EC31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14E" w:rsidRDefault="00EC31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14E" w:rsidRDefault="00EC31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398D"/>
    <w:multiLevelType w:val="hybridMultilevel"/>
    <w:tmpl w:val="459602D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270227"/>
    <w:multiLevelType w:val="hybridMultilevel"/>
    <w:tmpl w:val="2C2E6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333F6"/>
    <w:multiLevelType w:val="hybridMultilevel"/>
    <w:tmpl w:val="E766B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C5CB3"/>
    <w:multiLevelType w:val="hybridMultilevel"/>
    <w:tmpl w:val="07AA7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92979"/>
    <w:multiLevelType w:val="hybridMultilevel"/>
    <w:tmpl w:val="BFDE3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B0355"/>
    <w:multiLevelType w:val="hybridMultilevel"/>
    <w:tmpl w:val="8F10F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D50C5"/>
    <w:multiLevelType w:val="hybridMultilevel"/>
    <w:tmpl w:val="9E049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827CA"/>
    <w:multiLevelType w:val="hybridMultilevel"/>
    <w:tmpl w:val="CD689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C002C"/>
    <w:multiLevelType w:val="hybridMultilevel"/>
    <w:tmpl w:val="690C92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76AFA"/>
    <w:multiLevelType w:val="hybridMultilevel"/>
    <w:tmpl w:val="AB8CA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A3105"/>
    <w:multiLevelType w:val="hybridMultilevel"/>
    <w:tmpl w:val="299CA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31E09"/>
    <w:multiLevelType w:val="hybridMultilevel"/>
    <w:tmpl w:val="C804ECA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ED207D"/>
    <w:multiLevelType w:val="hybridMultilevel"/>
    <w:tmpl w:val="32AA2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05CA6"/>
    <w:multiLevelType w:val="hybridMultilevel"/>
    <w:tmpl w:val="50589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425E4"/>
    <w:multiLevelType w:val="hybridMultilevel"/>
    <w:tmpl w:val="CB4A8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75AE4"/>
    <w:multiLevelType w:val="hybridMultilevel"/>
    <w:tmpl w:val="DDE89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E4C70"/>
    <w:multiLevelType w:val="hybridMultilevel"/>
    <w:tmpl w:val="494AE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13D85"/>
    <w:multiLevelType w:val="hybridMultilevel"/>
    <w:tmpl w:val="CF069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65876"/>
    <w:multiLevelType w:val="hybridMultilevel"/>
    <w:tmpl w:val="ECCA8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C2AB9"/>
    <w:multiLevelType w:val="hybridMultilevel"/>
    <w:tmpl w:val="7EE81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D3A71"/>
    <w:multiLevelType w:val="hybridMultilevel"/>
    <w:tmpl w:val="61BA7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15C03"/>
    <w:multiLevelType w:val="hybridMultilevel"/>
    <w:tmpl w:val="71A67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</w:num>
  <w:num w:numId="4">
    <w:abstractNumId w:val="9"/>
  </w:num>
  <w:num w:numId="5">
    <w:abstractNumId w:val="6"/>
  </w:num>
  <w:num w:numId="6">
    <w:abstractNumId w:val="16"/>
  </w:num>
  <w:num w:numId="7">
    <w:abstractNumId w:val="7"/>
  </w:num>
  <w:num w:numId="8">
    <w:abstractNumId w:val="14"/>
  </w:num>
  <w:num w:numId="9">
    <w:abstractNumId w:val="21"/>
  </w:num>
  <w:num w:numId="10">
    <w:abstractNumId w:val="3"/>
  </w:num>
  <w:num w:numId="11">
    <w:abstractNumId w:val="15"/>
  </w:num>
  <w:num w:numId="12">
    <w:abstractNumId w:val="12"/>
  </w:num>
  <w:num w:numId="13">
    <w:abstractNumId w:val="20"/>
  </w:num>
  <w:num w:numId="14">
    <w:abstractNumId w:val="11"/>
  </w:num>
  <w:num w:numId="15">
    <w:abstractNumId w:val="1"/>
  </w:num>
  <w:num w:numId="16">
    <w:abstractNumId w:val="0"/>
  </w:num>
  <w:num w:numId="17">
    <w:abstractNumId w:val="8"/>
  </w:num>
  <w:num w:numId="18">
    <w:abstractNumId w:val="5"/>
  </w:num>
  <w:num w:numId="19">
    <w:abstractNumId w:val="18"/>
  </w:num>
  <w:num w:numId="20">
    <w:abstractNumId w:val="2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57"/>
    <w:rsid w:val="00007C57"/>
    <w:rsid w:val="000618E7"/>
    <w:rsid w:val="000A5D89"/>
    <w:rsid w:val="000C0898"/>
    <w:rsid w:val="000E7391"/>
    <w:rsid w:val="000E7FB5"/>
    <w:rsid w:val="00115F06"/>
    <w:rsid w:val="001205D6"/>
    <w:rsid w:val="0014151F"/>
    <w:rsid w:val="0018153E"/>
    <w:rsid w:val="001B37FA"/>
    <w:rsid w:val="001B4203"/>
    <w:rsid w:val="00230165"/>
    <w:rsid w:val="00246C93"/>
    <w:rsid w:val="00267800"/>
    <w:rsid w:val="00273B34"/>
    <w:rsid w:val="002B6466"/>
    <w:rsid w:val="00357931"/>
    <w:rsid w:val="003A6C60"/>
    <w:rsid w:val="003B20CB"/>
    <w:rsid w:val="003D065F"/>
    <w:rsid w:val="004A31C0"/>
    <w:rsid w:val="004C2340"/>
    <w:rsid w:val="004C5103"/>
    <w:rsid w:val="004D0FCF"/>
    <w:rsid w:val="004E7738"/>
    <w:rsid w:val="00512F8B"/>
    <w:rsid w:val="00513EF6"/>
    <w:rsid w:val="005306C8"/>
    <w:rsid w:val="00532E41"/>
    <w:rsid w:val="005719BC"/>
    <w:rsid w:val="005819ED"/>
    <w:rsid w:val="00587278"/>
    <w:rsid w:val="005B6FB6"/>
    <w:rsid w:val="0060140D"/>
    <w:rsid w:val="00616F03"/>
    <w:rsid w:val="00637F7A"/>
    <w:rsid w:val="006736C8"/>
    <w:rsid w:val="006A464E"/>
    <w:rsid w:val="006C2816"/>
    <w:rsid w:val="006E487B"/>
    <w:rsid w:val="006E69A2"/>
    <w:rsid w:val="00712016"/>
    <w:rsid w:val="00723179"/>
    <w:rsid w:val="00741797"/>
    <w:rsid w:val="0076493C"/>
    <w:rsid w:val="007A1288"/>
    <w:rsid w:val="007B4692"/>
    <w:rsid w:val="00805C59"/>
    <w:rsid w:val="0082384F"/>
    <w:rsid w:val="00846D63"/>
    <w:rsid w:val="00864EA2"/>
    <w:rsid w:val="008A5C71"/>
    <w:rsid w:val="008B2840"/>
    <w:rsid w:val="008C58D4"/>
    <w:rsid w:val="008E69A3"/>
    <w:rsid w:val="0090661D"/>
    <w:rsid w:val="0096010B"/>
    <w:rsid w:val="009F55DD"/>
    <w:rsid w:val="00A20D1F"/>
    <w:rsid w:val="00A65A86"/>
    <w:rsid w:val="00AA609D"/>
    <w:rsid w:val="00B0080E"/>
    <w:rsid w:val="00B10B5C"/>
    <w:rsid w:val="00B505D1"/>
    <w:rsid w:val="00B75323"/>
    <w:rsid w:val="00B775ED"/>
    <w:rsid w:val="00BB0ED1"/>
    <w:rsid w:val="00C6443A"/>
    <w:rsid w:val="00C66217"/>
    <w:rsid w:val="00C861D8"/>
    <w:rsid w:val="00CC093F"/>
    <w:rsid w:val="00CC479D"/>
    <w:rsid w:val="00CC5108"/>
    <w:rsid w:val="00CD2185"/>
    <w:rsid w:val="00D30307"/>
    <w:rsid w:val="00D6097F"/>
    <w:rsid w:val="00D8128B"/>
    <w:rsid w:val="00D82F9B"/>
    <w:rsid w:val="00D947BC"/>
    <w:rsid w:val="00E122A2"/>
    <w:rsid w:val="00E31EAB"/>
    <w:rsid w:val="00E445DD"/>
    <w:rsid w:val="00E5545F"/>
    <w:rsid w:val="00E94FEF"/>
    <w:rsid w:val="00E95BBB"/>
    <w:rsid w:val="00EC314E"/>
    <w:rsid w:val="00ED698B"/>
    <w:rsid w:val="00EE3FA0"/>
    <w:rsid w:val="00EE6E57"/>
    <w:rsid w:val="00F14A0B"/>
    <w:rsid w:val="00F3702C"/>
    <w:rsid w:val="00F409C8"/>
    <w:rsid w:val="00F53921"/>
    <w:rsid w:val="00F8284A"/>
    <w:rsid w:val="00FE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5BC2A1-07F3-4ACC-93F7-C301EA09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3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14E"/>
  </w:style>
  <w:style w:type="paragraph" w:styleId="Footer">
    <w:name w:val="footer"/>
    <w:basedOn w:val="Normal"/>
    <w:link w:val="FooterChar"/>
    <w:uiPriority w:val="99"/>
    <w:unhideWhenUsed/>
    <w:rsid w:val="00EC3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14E"/>
  </w:style>
  <w:style w:type="paragraph" w:styleId="BalloonText">
    <w:name w:val="Balloon Text"/>
    <w:basedOn w:val="Normal"/>
    <w:link w:val="BalloonTextChar"/>
    <w:uiPriority w:val="99"/>
    <w:semiHidden/>
    <w:unhideWhenUsed/>
    <w:rsid w:val="007A1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2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0F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96154-E55A-457C-B124-D128DD4B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Barnes</dc:creator>
  <cp:keywords/>
  <dc:description/>
  <cp:lastModifiedBy>Susan Barnes</cp:lastModifiedBy>
  <cp:revision>2</cp:revision>
  <cp:lastPrinted>2017-07-04T09:54:00Z</cp:lastPrinted>
  <dcterms:created xsi:type="dcterms:W3CDTF">2017-09-10T17:46:00Z</dcterms:created>
  <dcterms:modified xsi:type="dcterms:W3CDTF">2017-09-10T17:46:00Z</dcterms:modified>
</cp:coreProperties>
</file>